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36E02" w:rsidRPr="004D3033" w:rsidRDefault="00C724E0" w:rsidP="00836E02">
      <w:pPr>
        <w:ind w:right="-15"/>
        <w:jc w:val="center"/>
        <w:rPr>
          <w:rFonts w:ascii="ＭＳ ゴシック" w:eastAsia="ＭＳ ゴシック" w:hAnsi="ＭＳ ゴシック"/>
          <w:strike/>
          <w:sz w:val="36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4876800</wp:posOffset>
                </wp:positionH>
                <wp:positionV relativeFrom="paragraph">
                  <wp:posOffset>-466725</wp:posOffset>
                </wp:positionV>
                <wp:extent cx="971550" cy="333375"/>
                <wp:effectExtent l="0" t="0" r="19050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1550" cy="333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24E0" w:rsidRDefault="00C724E0" w:rsidP="00C724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</w:rPr>
                              <w:t>別添　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384pt;margin-top:-36.75pt;width:76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PxwjQIAAPkEAAAOAAAAZHJzL2Uyb0RvYy54bWysVM1u1DAQviPxDpbvNLutSkvUbLVqVYS0&#10;aiu1qOdZx9lE2B5jezdZ3gMeAM6cEQceh0q8BWMn6R+cEDlYY894Zr7P3+TouNOKbaTzDZqCT3cm&#10;nEkjsGzMquBvr89eHHLmA5gSFBpZ8K30/Hj2/NlRa3O5izWqUjpGSYzPW1vwOgSbZ5kXtdTgd9BK&#10;Q84KnYZAW7fKSgctZdcq251MXmYtutI6FNJ7Oj3tnXyW8leVFOGiqrwMTBWcegtpdWldxjWbHUG+&#10;cmDrRgxtwD90oaExVPQu1SkEYGvX/JFKN8KhxyrsCNQZVlUjZMJAaKaTJ2iuarAyYSFyvL2jyf+/&#10;tOJ8c+lYUxZ8jzMDmp7o9uuX20/ff/74nP36+K232F4kqrU+p/gre+kiVG8XKN55cmSPPHHjh5iu&#10;cjrGElDWJda3d6zLLjBBh68Opvv79DaCXHv0HezHYhnk42XrfHgtUbNoFNzRoyauYbPwoQ8dQ2It&#10;g2eNUnQOuTKsJVXuHkxifiB9VQoCmdoSYm9WnIFakXBFcCmlR9WU8XoCuPUnyrENkHZIciW219Qz&#10;Zwp8IAcBSd/Q7aOrsZ9T8HV/Obl6qekmkN5Vowt++PC2MrGiTIodUN3zGK3QLTvCFM0lllt6NIe9&#10;mr0VZw3VW1Bbl+BIvgSWRjJc0FIpJAZwsDir0X3423mMJ1WRl7OWxoHYeb8GJwntG0N6i7MzGm40&#10;lqNh1voEiaUpDbsVyaQLLqjRrBzqG5rUeaxCLjCCavW8D5uT0I8lzbqQ83kKoxmxEBbmyoqYPFIU&#10;mb3ubsDZQQ6B3uQcx1GB/Ikq+th40+B8HbBqkmTueRzkS/OVRDf8C+IAP9ynqPs/1uw3AAAA//8D&#10;AFBLAwQUAAYACAAAACEApTocNN8AAAALAQAADwAAAGRycy9kb3ducmV2LnhtbEyPQU/DMAyF70j8&#10;h8hI3LZ0g22l1J0QiAMSh9EhcU0b01Y0TtVkW/fv8U5ws5+fnr+XbyfXqyONofOMsJgnoIhrbztu&#10;ED73r7MUVIiGrek9E8KZAmyL66vcZNaf+IOOZWyUhHDIDEIb45BpHeqWnAlzPxDL7duPzkRZx0bb&#10;0Zwk3PV6mSRr7UzH8qE1Az23VP+UB4cQ/dt98777erHpbn/muuNyVTHi7c309Agq0hT/zHDBF3Qo&#10;hKnyB7ZB9QibdSpdIsJsc7cCJY6H5UKUSpTLoItc/+9Q/AIAAP//AwBQSwECLQAUAAYACAAAACEA&#10;toM4kv4AAADhAQAAEwAAAAAAAAAAAAAAAAAAAAAAW0NvbnRlbnRfVHlwZXNdLnhtbFBLAQItABQA&#10;BgAIAAAAIQA4/SH/1gAAAJQBAAALAAAAAAAAAAAAAAAAAC8BAABfcmVscy8ucmVsc1BLAQItABQA&#10;BgAIAAAAIQCiFPxwjQIAAPkEAAAOAAAAAAAAAAAAAAAAAC4CAABkcnMvZTJvRG9jLnhtbFBLAQIt&#10;ABQABgAIAAAAIQClOhw03wAAAAsBAAAPAAAAAAAAAAAAAAAAAOcEAABkcnMvZG93bnJldi54bWxQ&#10;SwUGAAAAAAQABADzAAAA8wUAAAAA&#10;" filled="f" strokecolor="windowText" strokeweight="1pt">
                <v:path arrowok="t"/>
                <v:textbox inset="0,0,0,0">
                  <w:txbxContent>
                    <w:p w:rsidR="00C724E0" w:rsidRDefault="00C724E0" w:rsidP="00C724E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</w:rPr>
                        <w:t xml:space="preserve">別添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</w:rPr>
                        <w:t>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36E02" w:rsidRPr="00F55EB0">
        <w:rPr>
          <w:rFonts w:ascii="ＭＳ ゴシック" w:eastAsia="ＭＳ ゴシック" w:hAnsi="ＭＳ ゴシック" w:hint="eastAsia"/>
          <w:sz w:val="36"/>
          <w:szCs w:val="32"/>
        </w:rPr>
        <w:t>委員会の質疑・質問等に関する申合せ事項</w:t>
      </w:r>
      <w:r w:rsidR="00836E02">
        <w:rPr>
          <w:rFonts w:ascii="ＭＳ ゴシック" w:eastAsia="ＭＳ ゴシック" w:hAnsi="ＭＳ ゴシック" w:hint="eastAsia"/>
          <w:sz w:val="36"/>
          <w:szCs w:val="32"/>
        </w:rPr>
        <w:t>（抜粋）</w:t>
      </w:r>
    </w:p>
    <w:p w:rsidR="00D55AA2" w:rsidRDefault="00D55AA2" w:rsidP="00836E02">
      <w:pPr>
        <w:spacing w:line="360" w:lineRule="auto"/>
        <w:ind w:left="256" w:hanging="256"/>
      </w:pPr>
    </w:p>
    <w:p w:rsidR="00836E02" w:rsidRDefault="00836E02" w:rsidP="00836E02">
      <w:pPr>
        <w:spacing w:line="360" w:lineRule="auto"/>
        <w:ind w:left="256" w:hanging="256"/>
      </w:pPr>
    </w:p>
    <w:p w:rsidR="00836E02" w:rsidRPr="00836E02" w:rsidRDefault="00836E02" w:rsidP="00836E02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836E02">
        <w:rPr>
          <w:rFonts w:ascii="ＭＳ ゴシック" w:eastAsia="ＭＳ ゴシック" w:hAnsi="ＭＳ ゴシック" w:hint="eastAsia"/>
          <w:sz w:val="28"/>
          <w:szCs w:val="28"/>
        </w:rPr>
        <w:t>２　決算審査に係る特例</w:t>
      </w:r>
    </w:p>
    <w:p w:rsidR="00836E02" w:rsidRPr="00836E02" w:rsidRDefault="00836E02" w:rsidP="00836E02">
      <w:pPr>
        <w:spacing w:beforeLines="25" w:before="60" w:afterLines="25" w:after="60" w:line="400" w:lineRule="exact"/>
        <w:rPr>
          <w:rFonts w:hAnsi="ＭＳ 明朝"/>
          <w:sz w:val="28"/>
          <w:szCs w:val="28"/>
        </w:rPr>
      </w:pPr>
      <w:r w:rsidRPr="00836E02">
        <w:rPr>
          <w:rFonts w:hAnsi="ＭＳ 明朝" w:hint="eastAsia"/>
          <w:sz w:val="28"/>
          <w:szCs w:val="28"/>
        </w:rPr>
        <w:t xml:space="preserve">　⑴　会派の質問持ち時間</w:t>
      </w:r>
    </w:p>
    <w:p w:rsidR="00836E02" w:rsidRPr="00836E02" w:rsidRDefault="00836E02" w:rsidP="00836E02">
      <w:pPr>
        <w:spacing w:line="400" w:lineRule="exact"/>
        <w:rPr>
          <w:rFonts w:hAnsi="ＭＳ 明朝"/>
          <w:sz w:val="28"/>
          <w:szCs w:val="28"/>
        </w:rPr>
      </w:pPr>
      <w:r w:rsidRPr="00836E02">
        <w:rPr>
          <w:rFonts w:hAnsi="ＭＳ 明朝" w:hint="eastAsia"/>
          <w:sz w:val="28"/>
          <w:szCs w:val="28"/>
        </w:rPr>
        <w:t xml:space="preserve">　　①　一般審査</w:t>
      </w:r>
    </w:p>
    <w:p w:rsidR="00836E02" w:rsidRPr="00836E02" w:rsidRDefault="00836E02" w:rsidP="00836E02">
      <w:pPr>
        <w:spacing w:line="400" w:lineRule="exact"/>
        <w:ind w:left="1120" w:hangingChars="400" w:hanging="1120"/>
        <w:rPr>
          <w:rFonts w:hAnsi="ＭＳ 明朝"/>
          <w:sz w:val="28"/>
          <w:szCs w:val="28"/>
        </w:rPr>
      </w:pPr>
      <w:r w:rsidRPr="00836E02">
        <w:rPr>
          <w:rFonts w:hAnsi="ＭＳ 明朝" w:hint="eastAsia"/>
          <w:sz w:val="28"/>
          <w:szCs w:val="28"/>
        </w:rPr>
        <w:t xml:space="preserve">　　　ア　各会派に、所属委員１人当たり30分（答弁時間を含む）を乗じた時間を配分する。</w:t>
      </w:r>
    </w:p>
    <w:p w:rsidR="00836E02" w:rsidRPr="00836E02" w:rsidRDefault="00836E02" w:rsidP="00836E02">
      <w:pPr>
        <w:spacing w:line="400" w:lineRule="exact"/>
        <w:ind w:left="1120" w:hangingChars="400" w:hanging="1120"/>
        <w:rPr>
          <w:rFonts w:hAnsi="ＭＳ 明朝"/>
          <w:sz w:val="28"/>
          <w:szCs w:val="28"/>
        </w:rPr>
      </w:pPr>
      <w:r w:rsidRPr="00836E02">
        <w:rPr>
          <w:rFonts w:hAnsi="ＭＳ 明朝" w:hint="eastAsia"/>
          <w:sz w:val="28"/>
          <w:szCs w:val="28"/>
        </w:rPr>
        <w:t xml:space="preserve">　　　イ　質問に当っては、機会均等を図るため１人１回につき30分以内とする。</w:t>
      </w:r>
    </w:p>
    <w:p w:rsidR="00836E02" w:rsidRPr="00836E02" w:rsidRDefault="00836E02" w:rsidP="00836E02">
      <w:pPr>
        <w:spacing w:beforeLines="25" w:before="60" w:line="400" w:lineRule="exact"/>
        <w:rPr>
          <w:rFonts w:hAnsi="ＭＳ 明朝"/>
          <w:sz w:val="28"/>
          <w:szCs w:val="28"/>
        </w:rPr>
      </w:pPr>
      <w:r w:rsidRPr="00836E02">
        <w:rPr>
          <w:rFonts w:hAnsi="ＭＳ 明朝" w:hint="eastAsia"/>
          <w:sz w:val="28"/>
          <w:szCs w:val="28"/>
        </w:rPr>
        <w:t xml:space="preserve">　⑵　質疑内容</w:t>
      </w:r>
    </w:p>
    <w:p w:rsidR="00836E02" w:rsidRPr="00836E02" w:rsidRDefault="00836E02" w:rsidP="00836E02">
      <w:pPr>
        <w:spacing w:line="400" w:lineRule="exact"/>
        <w:rPr>
          <w:rFonts w:hAnsi="ＭＳ 明朝"/>
          <w:sz w:val="28"/>
          <w:szCs w:val="28"/>
        </w:rPr>
      </w:pPr>
      <w:r w:rsidRPr="00836E02">
        <w:rPr>
          <w:rFonts w:hAnsi="ＭＳ 明朝" w:hint="eastAsia"/>
          <w:sz w:val="28"/>
          <w:szCs w:val="28"/>
        </w:rPr>
        <w:t xml:space="preserve">　　　所管部局関係の決算関連議案に対するものに限定する。</w:t>
      </w:r>
    </w:p>
    <w:p w:rsidR="00836E02" w:rsidRPr="00836E02" w:rsidRDefault="00836E02" w:rsidP="00836E02">
      <w:pPr>
        <w:spacing w:line="400" w:lineRule="exact"/>
        <w:rPr>
          <w:sz w:val="28"/>
          <w:szCs w:val="28"/>
        </w:rPr>
      </w:pPr>
    </w:p>
    <w:sectPr w:rsidR="00836E02" w:rsidRPr="00836E02" w:rsidSect="00836E02">
      <w:pgSz w:w="11906" w:h="16838" w:code="9"/>
      <w:pgMar w:top="1701" w:right="1418" w:bottom="1418" w:left="1418" w:header="851" w:footer="397" w:gutter="0"/>
      <w:cols w:space="425"/>
      <w:docGrid w:linePitch="424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ADB" w:rsidRDefault="00E60ADB" w:rsidP="00E60ADB">
      <w:r>
        <w:separator/>
      </w:r>
    </w:p>
  </w:endnote>
  <w:endnote w:type="continuationSeparator" w:id="0">
    <w:p w:rsidR="00E60ADB" w:rsidRDefault="00E60ADB" w:rsidP="00E60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ADB" w:rsidRDefault="00E60ADB" w:rsidP="00E60ADB">
      <w:r>
        <w:separator/>
      </w:r>
    </w:p>
  </w:footnote>
  <w:footnote w:type="continuationSeparator" w:id="0">
    <w:p w:rsidR="00E60ADB" w:rsidRDefault="00E60ADB" w:rsidP="00E60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6"/>
  <w:drawingGridVerticalSpacing w:val="212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02"/>
    <w:rsid w:val="00081B48"/>
    <w:rsid w:val="00836E02"/>
    <w:rsid w:val="00925B91"/>
    <w:rsid w:val="00C724E0"/>
    <w:rsid w:val="00D2271D"/>
    <w:rsid w:val="00D55AA2"/>
    <w:rsid w:val="00DA5945"/>
    <w:rsid w:val="00E6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P創英角ｺﾞｼｯｸUB" w:eastAsia="HGP創英角ｺﾞｼｯｸUB" w:hAnsi="HGP創英角ｺﾞｼｯｸUB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E02"/>
    <w:pPr>
      <w:widowControl w:val="0"/>
      <w:jc w:val="both"/>
    </w:pPr>
    <w:rPr>
      <w:rFonts w:ascii="ＭＳ 明朝" w:eastAsia="ＭＳ 明朝" w:hAnsi="Century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6E0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0A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0ADB"/>
    <w:rPr>
      <w:rFonts w:ascii="ＭＳ 明朝" w:eastAsia="ＭＳ 明朝" w:hAnsi="Century" w:cs="Times New Roman"/>
      <w:kern w:val="2"/>
    </w:rPr>
  </w:style>
  <w:style w:type="paragraph" w:styleId="a7">
    <w:name w:val="footer"/>
    <w:basedOn w:val="a"/>
    <w:link w:val="a8"/>
    <w:uiPriority w:val="99"/>
    <w:unhideWhenUsed/>
    <w:rsid w:val="00E60A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0ADB"/>
    <w:rPr>
      <w:rFonts w:ascii="ＭＳ 明朝" w:eastAsia="ＭＳ 明朝" w:hAnsi="Century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2022-09-21T06:41:00Z</dcterms:created>
  <dcterms:modified xsi:type="dcterms:W3CDTF">2022-09-21T06:41:00Z</dcterms:modified>
</cp:coreProperties>
</file>