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6E02" w:rsidRPr="004D3033" w:rsidRDefault="003B5E84" w:rsidP="00836E02">
      <w:pPr>
        <w:ind w:right="-15"/>
        <w:jc w:val="center"/>
        <w:rPr>
          <w:rFonts w:ascii="ＭＳ ゴシック" w:eastAsia="ＭＳ ゴシック" w:hAnsi="ＭＳ ゴシック"/>
          <w:strike/>
          <w:sz w:val="36"/>
          <w:szCs w:val="32"/>
        </w:rPr>
      </w:pPr>
      <w:r w:rsidRPr="003B5E84">
        <w:rPr>
          <w:rFonts w:ascii="ＭＳ ゴシック" w:eastAsia="ＭＳ ゴシック" w:hAnsi="ＭＳ ゴシック" w:cstheme="minorBid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02B50" wp14:editId="10CA7E5F">
                <wp:simplePos x="0" y="0"/>
                <wp:positionH relativeFrom="rightMargin">
                  <wp:posOffset>-644525</wp:posOffset>
                </wp:positionH>
                <wp:positionV relativeFrom="paragraph">
                  <wp:posOffset>-771525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E84" w:rsidRDefault="003B5E84" w:rsidP="003B5E8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0E6C71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２</w:t>
                            </w:r>
                          </w:p>
                          <w:p w:rsidR="003B5E84" w:rsidRPr="00FC6516" w:rsidRDefault="003B5E84" w:rsidP="003B5E8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02B50" id="Rectangle 6" o:spid="_x0000_s1026" style="position:absolute;left:0;text-align:left;margin-left:-50.75pt;margin-top:-60.7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" strokeweight="1.75pt">
                <v:textbox inset="1mm,.7pt,1mm,.7pt">
                  <w:txbxContent>
                    <w:p w:rsidR="003B5E84" w:rsidRDefault="003B5E84" w:rsidP="003B5E8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0E6C71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２</w:t>
                      </w:r>
                    </w:p>
                    <w:p w:rsidR="003B5E84" w:rsidRPr="00FC6516" w:rsidRDefault="003B5E84" w:rsidP="003B5E8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36E02" w:rsidRPr="00F55EB0">
        <w:rPr>
          <w:rFonts w:ascii="ＭＳ ゴシック" w:eastAsia="ＭＳ ゴシック" w:hAnsi="ＭＳ ゴシック" w:hint="eastAsia"/>
          <w:sz w:val="36"/>
          <w:szCs w:val="32"/>
        </w:rPr>
        <w:t>委員会の質疑・質問等に関する申合せ事項</w:t>
      </w:r>
      <w:r w:rsidR="00836E02">
        <w:rPr>
          <w:rFonts w:ascii="ＭＳ ゴシック" w:eastAsia="ＭＳ ゴシック" w:hAnsi="ＭＳ ゴシック" w:hint="eastAsia"/>
          <w:sz w:val="36"/>
          <w:szCs w:val="32"/>
        </w:rPr>
        <w:t>（抜粋）</w:t>
      </w:r>
    </w:p>
    <w:p w:rsidR="00D55AA2" w:rsidRDefault="00D55AA2" w:rsidP="00836E02">
      <w:pPr>
        <w:spacing w:line="360" w:lineRule="auto"/>
        <w:ind w:left="256" w:hanging="256"/>
      </w:pPr>
    </w:p>
    <w:p w:rsidR="00836E02" w:rsidRDefault="00836E02" w:rsidP="00836E02">
      <w:pPr>
        <w:spacing w:line="360" w:lineRule="auto"/>
        <w:ind w:left="256" w:hanging="256"/>
      </w:pPr>
    </w:p>
    <w:p w:rsidR="00836E02" w:rsidRPr="00836E02" w:rsidRDefault="00836E02" w:rsidP="00836E02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836E02">
        <w:rPr>
          <w:rFonts w:ascii="ＭＳ ゴシック" w:eastAsia="ＭＳ ゴシック" w:hAnsi="ＭＳ ゴシック" w:hint="eastAsia"/>
          <w:sz w:val="28"/>
          <w:szCs w:val="28"/>
        </w:rPr>
        <w:t>２　決算審査に係る特例</w:t>
      </w:r>
    </w:p>
    <w:p w:rsidR="00836E02" w:rsidRPr="00836E02" w:rsidRDefault="00836E02" w:rsidP="00836E02">
      <w:pPr>
        <w:spacing w:beforeLines="25" w:before="60" w:afterLines="25" w:after="60"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⑴　会派の質問持ち時間</w:t>
      </w:r>
    </w:p>
    <w:p w:rsidR="00836E02" w:rsidRPr="00836E02" w:rsidRDefault="00836E02" w:rsidP="00836E02">
      <w:pPr>
        <w:spacing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①　一般審査</w:t>
      </w:r>
    </w:p>
    <w:p w:rsidR="00836E02" w:rsidRPr="00836E02" w:rsidRDefault="00836E02" w:rsidP="00836E02">
      <w:pPr>
        <w:spacing w:line="400" w:lineRule="exact"/>
        <w:ind w:left="1120" w:hangingChars="400" w:hanging="1120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ア　各会派に、所属委員１人当たり30分（答弁時間を含む）を乗じた時間を配分する。</w:t>
      </w:r>
    </w:p>
    <w:p w:rsidR="00836E02" w:rsidRPr="00836E02" w:rsidRDefault="00836E02" w:rsidP="00836E02">
      <w:pPr>
        <w:spacing w:line="400" w:lineRule="exact"/>
        <w:ind w:left="1120" w:hangingChars="400" w:hanging="1120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イ　質問に当っては、機会均等を図るため１人１回につき30分以内とする。</w:t>
      </w:r>
    </w:p>
    <w:p w:rsidR="00836E02" w:rsidRPr="00836E02" w:rsidRDefault="00836E02" w:rsidP="00836E02">
      <w:pPr>
        <w:spacing w:beforeLines="25" w:before="60"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⑵　質疑内容</w:t>
      </w:r>
    </w:p>
    <w:p w:rsidR="00836E02" w:rsidRPr="00836E02" w:rsidRDefault="00836E02" w:rsidP="00836E02">
      <w:pPr>
        <w:spacing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所管部局関係の決算関連議案に対するものに限定する。</w:t>
      </w:r>
    </w:p>
    <w:p w:rsidR="00836E02" w:rsidRPr="00836E02" w:rsidRDefault="00836E02" w:rsidP="00836E02">
      <w:pPr>
        <w:spacing w:line="400" w:lineRule="exact"/>
        <w:rPr>
          <w:sz w:val="28"/>
          <w:szCs w:val="28"/>
        </w:rPr>
      </w:pPr>
    </w:p>
    <w:sectPr w:rsidR="00836E02" w:rsidRPr="00836E02" w:rsidSect="00836E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397" w:gutter="0"/>
      <w:cols w:space="425"/>
      <w:docGrid w:linePitch="42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E9" w:rsidRDefault="00D203E9" w:rsidP="00D203E9">
      <w:r>
        <w:separator/>
      </w:r>
    </w:p>
  </w:endnote>
  <w:endnote w:type="continuationSeparator" w:id="0">
    <w:p w:rsidR="00D203E9" w:rsidRDefault="00D203E9" w:rsidP="00D2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67" w:rsidRDefault="00FE68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67" w:rsidRDefault="00FE686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67" w:rsidRDefault="00FE68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E9" w:rsidRDefault="00D203E9" w:rsidP="00D203E9">
      <w:r>
        <w:separator/>
      </w:r>
    </w:p>
  </w:footnote>
  <w:footnote w:type="continuationSeparator" w:id="0">
    <w:p w:rsidR="00D203E9" w:rsidRDefault="00D203E9" w:rsidP="00D2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67" w:rsidRDefault="00FE68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67" w:rsidRDefault="00FE686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67" w:rsidRDefault="00FE68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26"/>
  <w:drawingGridVerticalSpacing w:val="212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02"/>
    <w:rsid w:val="00081B48"/>
    <w:rsid w:val="000E6C71"/>
    <w:rsid w:val="003B5E84"/>
    <w:rsid w:val="00836E02"/>
    <w:rsid w:val="00925B91"/>
    <w:rsid w:val="00A75587"/>
    <w:rsid w:val="00C724E0"/>
    <w:rsid w:val="00D203E9"/>
    <w:rsid w:val="00D2271D"/>
    <w:rsid w:val="00D55AA2"/>
    <w:rsid w:val="00DA5945"/>
    <w:rsid w:val="00F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創英角ｺﾞｼｯｸUB" w:eastAsia="HGP創英角ｺﾞｼｯｸUB" w:hAnsi="HGP創英角ｺﾞｼｯｸUB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02"/>
    <w:pPr>
      <w:widowControl w:val="0"/>
      <w:jc w:val="both"/>
    </w:pPr>
    <w:rPr>
      <w:rFonts w:ascii="ＭＳ 明朝" w:eastAsia="ＭＳ 明朝" w:hAnsi="Century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E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0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3E9"/>
    <w:rPr>
      <w:rFonts w:ascii="ＭＳ 明朝" w:eastAsia="ＭＳ 明朝" w:hAnsi="Century"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D20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3E9"/>
    <w:rPr>
      <w:rFonts w:ascii="ＭＳ 明朝" w:eastAsia="ＭＳ 明朝" w:hAnsi="Century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2022-11-01T05:33:00Z</dcterms:created>
  <dcterms:modified xsi:type="dcterms:W3CDTF">2022-11-01T05:33:00Z</dcterms:modified>
</cp:coreProperties>
</file>