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899"/>
        <w:gridCol w:w="4111"/>
        <w:gridCol w:w="1701"/>
      </w:tblGrid>
      <w:tr w:rsidR="006B215B" w:rsidRPr="00FE35AD" w14:paraId="272B1635" w14:textId="77777777" w:rsidTr="00A802C3">
        <w:trPr>
          <w:trHeight w:val="829"/>
          <w:tblHeader/>
        </w:trPr>
        <w:tc>
          <w:tcPr>
            <w:tcW w:w="8789" w:type="dxa"/>
            <w:gridSpan w:val="2"/>
            <w:tcBorders>
              <w:bottom w:val="single" w:sz="4" w:space="0" w:color="auto"/>
            </w:tcBorders>
            <w:shd w:val="clear" w:color="auto" w:fill="C0C0C0"/>
            <w:vAlign w:val="center"/>
          </w:tcPr>
          <w:p w14:paraId="79458340" w14:textId="77777777" w:rsidR="00A802C3" w:rsidRPr="00FE35AD" w:rsidRDefault="006B215B" w:rsidP="00146298">
            <w:pPr>
              <w:autoSpaceDN w:val="0"/>
              <w:spacing w:line="300" w:lineRule="exact"/>
              <w:jc w:val="center"/>
              <w:rPr>
                <w:rFonts w:ascii="ＭＳ 明朝" w:hAnsi="ＭＳ 明朝"/>
                <w:kern w:val="0"/>
                <w:sz w:val="24"/>
              </w:rPr>
            </w:pPr>
            <w:r w:rsidRPr="00FE35AD">
              <w:rPr>
                <w:rFonts w:ascii="ＭＳ 明朝" w:hAnsi="ＭＳ 明朝" w:hint="eastAsia"/>
                <w:kern w:val="0"/>
                <w:sz w:val="24"/>
              </w:rPr>
              <w:t>包</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括</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外</w:t>
            </w:r>
            <w:r w:rsidR="00DF02B8" w:rsidRPr="00FE35AD">
              <w:rPr>
                <w:rFonts w:ascii="ＭＳ 明朝" w:hAnsi="ＭＳ 明朝" w:hint="eastAsia"/>
                <w:kern w:val="0"/>
                <w:sz w:val="24"/>
              </w:rPr>
              <w:t xml:space="preserve"> </w:t>
            </w:r>
            <w:r w:rsidRPr="00FE35AD">
              <w:rPr>
                <w:rFonts w:ascii="ＭＳ 明朝" w:hAnsi="ＭＳ 明朝" w:hint="eastAsia"/>
                <w:kern w:val="0"/>
                <w:sz w:val="24"/>
              </w:rPr>
              <w:t>部</w:t>
            </w:r>
            <w:r w:rsidR="00DF02B8" w:rsidRPr="00FE35AD">
              <w:rPr>
                <w:rFonts w:ascii="ＭＳ 明朝" w:hAnsi="ＭＳ 明朝" w:hint="eastAsia"/>
                <w:kern w:val="0"/>
                <w:sz w:val="24"/>
              </w:rPr>
              <w:t xml:space="preserve"> </w:t>
            </w:r>
            <w:r w:rsidRPr="00FE35AD">
              <w:rPr>
                <w:rFonts w:ascii="ＭＳ 明朝" w:hAnsi="ＭＳ 明朝" w:hint="eastAsia"/>
                <w:kern w:val="0"/>
                <w:sz w:val="24"/>
              </w:rPr>
              <w:t>監</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査</w:t>
            </w:r>
            <w:r w:rsidR="00DF02B8" w:rsidRPr="00FE35AD">
              <w:rPr>
                <w:rFonts w:ascii="ＭＳ 明朝" w:hAnsi="ＭＳ 明朝" w:hint="eastAsia"/>
                <w:kern w:val="0"/>
                <w:sz w:val="24"/>
              </w:rPr>
              <w:t xml:space="preserve"> </w:t>
            </w:r>
            <w:r w:rsidRPr="00FE35AD">
              <w:rPr>
                <w:rFonts w:ascii="ＭＳ 明朝" w:hAnsi="ＭＳ 明朝" w:hint="eastAsia"/>
                <w:kern w:val="0"/>
                <w:sz w:val="24"/>
              </w:rPr>
              <w:t>結</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果</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報</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告</w:t>
            </w:r>
            <w:r w:rsidR="00DF02B8" w:rsidRPr="00FE35AD">
              <w:rPr>
                <w:rFonts w:ascii="ＭＳ 明朝" w:hAnsi="ＭＳ 明朝" w:hint="eastAsia"/>
                <w:kern w:val="0"/>
                <w:sz w:val="24"/>
              </w:rPr>
              <w:t xml:space="preserve"> </w:t>
            </w:r>
            <w:r w:rsidRPr="00FE35AD">
              <w:rPr>
                <w:rFonts w:ascii="ＭＳ 明朝" w:hAnsi="ＭＳ 明朝" w:hint="eastAsia"/>
                <w:kern w:val="0"/>
                <w:sz w:val="24"/>
              </w:rPr>
              <w:t>書</w:t>
            </w:r>
            <w:r w:rsidR="00DF02B8" w:rsidRPr="00FE35AD">
              <w:rPr>
                <w:rFonts w:ascii="ＭＳ 明朝" w:hAnsi="ＭＳ 明朝" w:hint="eastAsia"/>
                <w:kern w:val="0"/>
                <w:sz w:val="24"/>
              </w:rPr>
              <w:t xml:space="preserve"> </w:t>
            </w:r>
            <w:r w:rsidRPr="00FE35AD">
              <w:rPr>
                <w:rFonts w:ascii="ＭＳ 明朝" w:hAnsi="ＭＳ 明朝" w:hint="eastAsia"/>
                <w:kern w:val="0"/>
                <w:sz w:val="24"/>
              </w:rPr>
              <w:t>記</w:t>
            </w:r>
            <w:r w:rsidR="00DF02B8" w:rsidRPr="00FE35AD">
              <w:rPr>
                <w:rFonts w:ascii="ＭＳ 明朝" w:hAnsi="ＭＳ 明朝" w:hint="eastAsia"/>
                <w:kern w:val="0"/>
                <w:sz w:val="24"/>
              </w:rPr>
              <w:t xml:space="preserve"> </w:t>
            </w:r>
            <w:r w:rsidRPr="00FE35AD">
              <w:rPr>
                <w:rFonts w:ascii="ＭＳ 明朝" w:hAnsi="ＭＳ 明朝" w:hint="eastAsia"/>
                <w:kern w:val="0"/>
                <w:sz w:val="24"/>
              </w:rPr>
              <w:t>載</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内</w:t>
            </w:r>
            <w:r w:rsidR="00DF02B8" w:rsidRPr="00FE35AD">
              <w:rPr>
                <w:rFonts w:ascii="ＭＳ 明朝" w:hAnsi="ＭＳ 明朝" w:hint="eastAsia"/>
                <w:kern w:val="0"/>
                <w:sz w:val="24"/>
              </w:rPr>
              <w:t xml:space="preserve"> </w:t>
            </w:r>
            <w:r w:rsidRPr="00FE35AD">
              <w:rPr>
                <w:rFonts w:ascii="ＭＳ 明朝" w:hAnsi="ＭＳ 明朝" w:hint="eastAsia"/>
                <w:kern w:val="0"/>
                <w:sz w:val="24"/>
              </w:rPr>
              <w:t>容</w:t>
            </w:r>
            <w:r w:rsidR="003172E6" w:rsidRPr="00FE35AD">
              <w:rPr>
                <w:rFonts w:ascii="ＭＳ 明朝" w:hAnsi="ＭＳ 明朝" w:hint="eastAsia"/>
                <w:kern w:val="0"/>
                <w:sz w:val="24"/>
              </w:rPr>
              <w:t xml:space="preserve">　</w:t>
            </w:r>
          </w:p>
          <w:p w14:paraId="272B1632" w14:textId="7AC91CEA" w:rsidR="006B215B" w:rsidRPr="00FE35AD" w:rsidRDefault="003172E6" w:rsidP="00146298">
            <w:pPr>
              <w:autoSpaceDN w:val="0"/>
              <w:spacing w:line="300" w:lineRule="exact"/>
              <w:jc w:val="center"/>
              <w:rPr>
                <w:rFonts w:ascii="ＭＳ 明朝" w:hAnsi="ＭＳ 明朝"/>
                <w:kern w:val="0"/>
                <w:sz w:val="24"/>
              </w:rPr>
            </w:pPr>
            <w:r w:rsidRPr="00FE35AD">
              <w:rPr>
                <w:rFonts w:ascii="ＭＳ 明朝" w:hAnsi="ＭＳ 明朝" w:hint="eastAsia"/>
                <w:kern w:val="0"/>
                <w:sz w:val="24"/>
              </w:rPr>
              <w:t>※小文字記載は指摘事項の概要</w:t>
            </w:r>
          </w:p>
        </w:tc>
        <w:tc>
          <w:tcPr>
            <w:tcW w:w="4111" w:type="dxa"/>
            <w:tcBorders>
              <w:bottom w:val="single" w:sz="4" w:space="0" w:color="auto"/>
            </w:tcBorders>
            <w:shd w:val="clear" w:color="auto" w:fill="C0C0C0"/>
            <w:vAlign w:val="center"/>
          </w:tcPr>
          <w:p w14:paraId="272B1633" w14:textId="77777777" w:rsidR="006B215B" w:rsidRPr="00FE35AD" w:rsidRDefault="006B215B" w:rsidP="00146298">
            <w:pPr>
              <w:autoSpaceDN w:val="0"/>
              <w:spacing w:line="300" w:lineRule="exact"/>
              <w:jc w:val="center"/>
              <w:rPr>
                <w:rFonts w:ascii="ＭＳ 明朝" w:hAnsi="ＭＳ 明朝"/>
                <w:sz w:val="24"/>
              </w:rPr>
            </w:pPr>
            <w:r w:rsidRPr="00FE35AD">
              <w:rPr>
                <w:rFonts w:ascii="ＭＳ 明朝" w:hAnsi="ＭＳ 明朝" w:hint="eastAsia"/>
                <w:sz w:val="24"/>
              </w:rPr>
              <w:t>措</w:t>
            </w:r>
            <w:r w:rsidR="00DF02B8" w:rsidRPr="00FE35AD">
              <w:rPr>
                <w:rFonts w:ascii="ＭＳ 明朝" w:hAnsi="ＭＳ 明朝" w:hint="eastAsia"/>
                <w:sz w:val="24"/>
              </w:rPr>
              <w:t xml:space="preserve"> </w:t>
            </w:r>
            <w:r w:rsidRPr="00FE35AD">
              <w:rPr>
                <w:rFonts w:ascii="ＭＳ 明朝" w:hAnsi="ＭＳ 明朝" w:hint="eastAsia"/>
                <w:sz w:val="24"/>
              </w:rPr>
              <w:t>置</w:t>
            </w:r>
            <w:r w:rsidR="00DF02B8" w:rsidRPr="00FE35AD">
              <w:rPr>
                <w:rFonts w:ascii="ＭＳ 明朝" w:hAnsi="ＭＳ 明朝" w:hint="eastAsia"/>
                <w:sz w:val="24"/>
              </w:rPr>
              <w:t xml:space="preserve"> </w:t>
            </w:r>
            <w:r w:rsidRPr="00FE35AD">
              <w:rPr>
                <w:rFonts w:ascii="ＭＳ 明朝" w:hAnsi="ＭＳ 明朝" w:hint="eastAsia"/>
                <w:sz w:val="24"/>
              </w:rPr>
              <w:t>等</w:t>
            </w:r>
            <w:r w:rsidR="00DF02B8" w:rsidRPr="00FE35AD">
              <w:rPr>
                <w:rFonts w:ascii="ＭＳ 明朝" w:hAnsi="ＭＳ 明朝" w:hint="eastAsia"/>
                <w:sz w:val="24"/>
              </w:rPr>
              <w:t xml:space="preserve"> </w:t>
            </w:r>
            <w:r w:rsidRPr="00FE35AD">
              <w:rPr>
                <w:rFonts w:ascii="ＭＳ 明朝" w:hAnsi="ＭＳ 明朝" w:hint="eastAsia"/>
                <w:sz w:val="24"/>
              </w:rPr>
              <w:t>の</w:t>
            </w:r>
            <w:r w:rsidR="00DF02B8" w:rsidRPr="00FE35AD">
              <w:rPr>
                <w:rFonts w:ascii="ＭＳ 明朝" w:hAnsi="ＭＳ 明朝" w:hint="eastAsia"/>
                <w:sz w:val="24"/>
              </w:rPr>
              <w:t xml:space="preserve"> </w:t>
            </w:r>
            <w:r w:rsidRPr="00FE35AD">
              <w:rPr>
                <w:rFonts w:ascii="ＭＳ 明朝" w:hAnsi="ＭＳ 明朝" w:hint="eastAsia"/>
                <w:sz w:val="24"/>
              </w:rPr>
              <w:t>状</w:t>
            </w:r>
            <w:r w:rsidR="00DF02B8" w:rsidRPr="00FE35AD">
              <w:rPr>
                <w:rFonts w:ascii="ＭＳ 明朝" w:hAnsi="ＭＳ 明朝" w:hint="eastAsia"/>
                <w:sz w:val="24"/>
              </w:rPr>
              <w:t xml:space="preserve"> </w:t>
            </w:r>
            <w:r w:rsidRPr="00FE35AD">
              <w:rPr>
                <w:rFonts w:ascii="ＭＳ 明朝" w:hAnsi="ＭＳ 明朝" w:hint="eastAsia"/>
                <w:sz w:val="24"/>
              </w:rPr>
              <w:t>況</w:t>
            </w:r>
          </w:p>
        </w:tc>
        <w:tc>
          <w:tcPr>
            <w:tcW w:w="1701" w:type="dxa"/>
            <w:tcBorders>
              <w:bottom w:val="single" w:sz="4" w:space="0" w:color="auto"/>
            </w:tcBorders>
            <w:shd w:val="clear" w:color="auto" w:fill="C0C0C0"/>
            <w:vAlign w:val="center"/>
          </w:tcPr>
          <w:p w14:paraId="272B1634" w14:textId="77777777" w:rsidR="006B215B" w:rsidRPr="00FE35AD" w:rsidRDefault="00CA5DAC" w:rsidP="00146298">
            <w:pPr>
              <w:autoSpaceDN w:val="0"/>
              <w:spacing w:line="300" w:lineRule="exact"/>
              <w:jc w:val="center"/>
              <w:rPr>
                <w:rFonts w:ascii="ＭＳ 明朝" w:hAnsi="ＭＳ 明朝"/>
                <w:sz w:val="24"/>
              </w:rPr>
            </w:pPr>
            <w:r w:rsidRPr="00FE35AD">
              <w:rPr>
                <w:rFonts w:ascii="ＭＳ 明朝" w:hAnsi="ＭＳ 明朝" w:hint="eastAsia"/>
                <w:sz w:val="24"/>
              </w:rPr>
              <w:t>対</w:t>
            </w:r>
            <w:r w:rsidR="00DF02B8" w:rsidRPr="00FE35AD">
              <w:rPr>
                <w:rFonts w:ascii="ＭＳ 明朝" w:hAnsi="ＭＳ 明朝" w:hint="eastAsia"/>
                <w:sz w:val="24"/>
              </w:rPr>
              <w:t xml:space="preserve">　</w:t>
            </w:r>
            <w:r w:rsidRPr="00FE35AD">
              <w:rPr>
                <w:rFonts w:ascii="ＭＳ 明朝" w:hAnsi="ＭＳ 明朝" w:hint="eastAsia"/>
                <w:sz w:val="24"/>
              </w:rPr>
              <w:t>応</w:t>
            </w:r>
          </w:p>
        </w:tc>
      </w:tr>
      <w:tr w:rsidR="00E90056" w:rsidRPr="00FE35AD" w14:paraId="272B187E" w14:textId="77777777" w:rsidTr="00146298">
        <w:trPr>
          <w:trHeight w:val="480"/>
        </w:trPr>
        <w:tc>
          <w:tcPr>
            <w:tcW w:w="14601" w:type="dxa"/>
            <w:gridSpan w:val="4"/>
            <w:shd w:val="clear" w:color="auto" w:fill="FFFFFF" w:themeFill="background1"/>
            <w:vAlign w:val="center"/>
          </w:tcPr>
          <w:p w14:paraId="272B187D" w14:textId="77777777" w:rsidR="000A5B31" w:rsidRPr="00FE35AD" w:rsidRDefault="000A5B31" w:rsidP="00146298">
            <w:pPr>
              <w:autoSpaceDN w:val="0"/>
              <w:spacing w:line="300" w:lineRule="exact"/>
              <w:rPr>
                <w:rFonts w:ascii="ＭＳ 明朝" w:hAnsi="ＭＳ 明朝"/>
                <w:color w:val="000000" w:themeColor="text1"/>
                <w:sz w:val="24"/>
              </w:rPr>
            </w:pPr>
            <w:bookmarkStart w:id="0" w:name="_Toc282163627"/>
            <w:r w:rsidRPr="00FE35AD">
              <w:rPr>
                <w:rFonts w:ascii="ＭＳ 明朝" w:hAnsi="ＭＳ 明朝" w:hint="eastAsia"/>
                <w:color w:val="000000" w:themeColor="text1"/>
                <w:sz w:val="24"/>
              </w:rPr>
              <w:t>第５　税務事務に関するその他事項の検討</w:t>
            </w:r>
            <w:bookmarkEnd w:id="0"/>
          </w:p>
        </w:tc>
      </w:tr>
      <w:tr w:rsidR="00E90056" w:rsidRPr="00FE35AD" w14:paraId="272B19BD" w14:textId="77777777" w:rsidTr="00A802C3">
        <w:trPr>
          <w:trHeight w:val="540"/>
        </w:trPr>
        <w:tc>
          <w:tcPr>
            <w:tcW w:w="1890" w:type="dxa"/>
          </w:tcPr>
          <w:p w14:paraId="272B19A9" w14:textId="77777777" w:rsidR="00895CC5" w:rsidRPr="00FE35AD" w:rsidRDefault="00895CC5" w:rsidP="00146298">
            <w:pPr>
              <w:pStyle w:val="a9"/>
              <w:autoSpaceDN w:val="0"/>
              <w:spacing w:line="300" w:lineRule="exact"/>
              <w:rPr>
                <w:rFonts w:hAnsi="ＭＳ 明朝"/>
                <w:color w:val="auto"/>
                <w:szCs w:val="20"/>
              </w:rPr>
            </w:pPr>
            <w:r w:rsidRPr="00FE35AD">
              <w:rPr>
                <w:rFonts w:hAnsi="ＭＳ 明朝" w:hint="eastAsia"/>
                <w:color w:val="auto"/>
                <w:szCs w:val="20"/>
              </w:rPr>
              <w:t>第５</w:t>
            </w:r>
          </w:p>
          <w:p w14:paraId="272B19AA" w14:textId="77777777" w:rsidR="00895CC5" w:rsidRPr="00FE35AD" w:rsidRDefault="00895CC5" w:rsidP="00146298">
            <w:pPr>
              <w:pStyle w:val="a9"/>
              <w:autoSpaceDN w:val="0"/>
              <w:spacing w:line="300" w:lineRule="exact"/>
              <w:rPr>
                <w:rFonts w:hAnsi="ＭＳ 明朝"/>
                <w:color w:val="auto"/>
                <w:szCs w:val="20"/>
              </w:rPr>
            </w:pPr>
            <w:r w:rsidRPr="00FE35AD">
              <w:rPr>
                <w:rFonts w:hAnsi="ＭＳ 明朝" w:hint="eastAsia"/>
                <w:color w:val="auto"/>
                <w:szCs w:val="20"/>
              </w:rPr>
              <w:t>【４】その他</w:t>
            </w:r>
          </w:p>
          <w:p w14:paraId="272B19AB" w14:textId="77777777" w:rsidR="00895CC5" w:rsidRPr="00FE35AD" w:rsidRDefault="00895CC5" w:rsidP="00146298">
            <w:pPr>
              <w:pStyle w:val="ae"/>
              <w:autoSpaceDN w:val="0"/>
              <w:spacing w:line="300" w:lineRule="exact"/>
              <w:ind w:leftChars="0" w:left="0"/>
              <w:rPr>
                <w:rFonts w:hAnsi="ＭＳ 明朝"/>
                <w:color w:val="auto"/>
                <w:sz w:val="24"/>
                <w:szCs w:val="20"/>
              </w:rPr>
            </w:pPr>
            <w:bookmarkStart w:id="1" w:name="_Toc282163643"/>
          </w:p>
          <w:p w14:paraId="272B19AC" w14:textId="2D848A3A" w:rsidR="00895CC5" w:rsidRPr="00FE35AD" w:rsidRDefault="00895CC5" w:rsidP="00146298">
            <w:pPr>
              <w:pStyle w:val="ae"/>
              <w:autoSpaceDN w:val="0"/>
              <w:spacing w:line="300" w:lineRule="exact"/>
              <w:ind w:leftChars="0" w:left="0"/>
              <w:rPr>
                <w:rFonts w:hAnsi="ＭＳ 明朝"/>
                <w:color w:val="auto"/>
                <w:sz w:val="24"/>
                <w:szCs w:val="20"/>
              </w:rPr>
            </w:pPr>
            <w:r w:rsidRPr="00FE35AD">
              <w:rPr>
                <w:rFonts w:hAnsi="ＭＳ 明朝" w:hint="eastAsia"/>
                <w:color w:val="auto"/>
                <w:sz w:val="24"/>
                <w:szCs w:val="20"/>
              </w:rPr>
              <w:t>４．</w:t>
            </w:r>
            <w:r w:rsidR="000077A4" w:rsidRPr="000077A4">
              <w:rPr>
                <w:rFonts w:hAnsi="ＭＳ 明朝" w:hint="eastAsia"/>
                <w:color w:val="auto"/>
                <w:sz w:val="24"/>
                <w:szCs w:val="20"/>
              </w:rPr>
              <w:t>ｅＬＴＡＸ</w:t>
            </w:r>
            <w:r w:rsidRPr="00FE35AD">
              <w:rPr>
                <w:rFonts w:hAnsi="ＭＳ 明朝" w:hint="eastAsia"/>
                <w:color w:val="auto"/>
                <w:sz w:val="24"/>
                <w:szCs w:val="20"/>
              </w:rPr>
              <w:t>によるサービス提供について</w:t>
            </w:r>
            <w:bookmarkEnd w:id="1"/>
          </w:p>
          <w:p w14:paraId="272B19AD" w14:textId="77777777" w:rsidR="00895CC5" w:rsidRPr="00FE35AD" w:rsidRDefault="00895CC5" w:rsidP="00146298">
            <w:pPr>
              <w:pStyle w:val="ab"/>
              <w:autoSpaceDN w:val="0"/>
              <w:spacing w:line="300" w:lineRule="exact"/>
              <w:ind w:leftChars="0" w:left="0"/>
              <w:rPr>
                <w:rFonts w:hAnsi="ＭＳ 明朝"/>
                <w:color w:val="auto"/>
                <w:sz w:val="24"/>
                <w:szCs w:val="20"/>
              </w:rPr>
            </w:pPr>
          </w:p>
          <w:p w14:paraId="272B19AE" w14:textId="77777777" w:rsidR="00895CC5" w:rsidRPr="00FE35AD" w:rsidRDefault="00895CC5" w:rsidP="00146298">
            <w:pPr>
              <w:pStyle w:val="ab"/>
              <w:autoSpaceDN w:val="0"/>
              <w:spacing w:line="300" w:lineRule="exact"/>
              <w:ind w:leftChars="0" w:left="0"/>
              <w:rPr>
                <w:rFonts w:hAnsi="ＭＳ 明朝"/>
                <w:color w:val="auto"/>
                <w:sz w:val="24"/>
                <w:szCs w:val="20"/>
              </w:rPr>
            </w:pPr>
            <w:r w:rsidRPr="00FE35AD">
              <w:rPr>
                <w:rFonts w:hAnsi="ＭＳ 明朝" w:hint="eastAsia"/>
                <w:color w:val="auto"/>
                <w:sz w:val="24"/>
                <w:szCs w:val="20"/>
              </w:rPr>
              <w:t>（２）意見</w:t>
            </w:r>
          </w:p>
          <w:p w14:paraId="272B19AF" w14:textId="77777777" w:rsidR="00895CC5" w:rsidRPr="00FE35AD" w:rsidRDefault="00895CC5"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①</w:t>
            </w:r>
            <w:proofErr w:type="spellStart"/>
            <w:r w:rsidRPr="00FE35AD">
              <w:rPr>
                <w:rFonts w:hAnsi="ＭＳ 明朝" w:hint="eastAsia"/>
                <w:color w:val="auto"/>
                <w:sz w:val="24"/>
                <w:szCs w:val="20"/>
              </w:rPr>
              <w:t>eLTAX</w:t>
            </w:r>
            <w:proofErr w:type="spellEnd"/>
            <w:r w:rsidRPr="00FE35AD">
              <w:rPr>
                <w:rFonts w:hAnsi="ＭＳ 明朝" w:hint="eastAsia"/>
                <w:color w:val="auto"/>
                <w:sz w:val="24"/>
                <w:szCs w:val="20"/>
              </w:rPr>
              <w:t>のサービス提供メニューを拡充すべき</w:t>
            </w:r>
          </w:p>
          <w:p w14:paraId="272B19B0" w14:textId="77777777" w:rsidR="00895CC5" w:rsidRPr="00FE35AD" w:rsidRDefault="00895CC5" w:rsidP="00146298">
            <w:pPr>
              <w:autoSpaceDN w:val="0"/>
              <w:spacing w:line="300" w:lineRule="exact"/>
              <w:rPr>
                <w:rFonts w:ascii="ＭＳ 明朝" w:hAnsi="ＭＳ 明朝"/>
                <w:szCs w:val="21"/>
              </w:rPr>
            </w:pPr>
          </w:p>
        </w:tc>
        <w:tc>
          <w:tcPr>
            <w:tcW w:w="6899" w:type="dxa"/>
          </w:tcPr>
          <w:p w14:paraId="272B19B1" w14:textId="4BB24D27" w:rsidR="00895CC5" w:rsidRPr="00FE35AD" w:rsidRDefault="00895CC5"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地方税ポータルシステム（</w:t>
            </w:r>
            <w:r w:rsidR="000077A4" w:rsidRPr="000077A4">
              <w:rPr>
                <w:rFonts w:hAnsi="ＭＳ 明朝" w:hint="eastAsia"/>
                <w:sz w:val="20"/>
                <w:szCs w:val="21"/>
              </w:rPr>
              <w:t>ｅＬＴＡＸ</w:t>
            </w:r>
            <w:r w:rsidRPr="00FE35AD">
              <w:rPr>
                <w:rFonts w:hAnsi="ＭＳ 明朝" w:hint="eastAsia"/>
                <w:sz w:val="20"/>
                <w:szCs w:val="21"/>
              </w:rPr>
              <w:t>）とは社団法人地方税電子化協議会が運営するシステムであり、地方税の申告、申請、納税などの手続をインターネットを利用して電子的に行うシステムである。</w:t>
            </w:r>
          </w:p>
          <w:p w14:paraId="3973F4E0" w14:textId="7D1722A2" w:rsidR="00FE35AD" w:rsidRPr="00FE35AD" w:rsidRDefault="00895CC5"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府が提供する</w:t>
            </w:r>
            <w:r w:rsidR="000077A4" w:rsidRPr="000077A4">
              <w:rPr>
                <w:rFonts w:hAnsi="ＭＳ 明朝" w:hint="eastAsia"/>
                <w:sz w:val="20"/>
                <w:szCs w:val="21"/>
              </w:rPr>
              <w:t>ｅＬＴＡＸ</w:t>
            </w:r>
            <w:r w:rsidRPr="00FE35AD">
              <w:rPr>
                <w:rFonts w:hAnsi="ＭＳ 明朝" w:hint="eastAsia"/>
                <w:sz w:val="20"/>
                <w:szCs w:val="21"/>
              </w:rPr>
              <w:t>のサービスメニューは法人二税の電子申告のみで、その他の税目・手続については</w:t>
            </w:r>
            <w:r w:rsidR="000077A4" w:rsidRPr="000077A4">
              <w:rPr>
                <w:rFonts w:hAnsi="ＭＳ 明朝" w:hint="eastAsia"/>
                <w:sz w:val="20"/>
                <w:szCs w:val="21"/>
              </w:rPr>
              <w:t>ｅＬＴＡＸ</w:t>
            </w:r>
            <w:r w:rsidRPr="00FE35AD">
              <w:rPr>
                <w:rFonts w:hAnsi="ＭＳ 明朝" w:hint="eastAsia"/>
                <w:sz w:val="20"/>
                <w:szCs w:val="21"/>
              </w:rPr>
              <w:t>のサービスを提供していない。</w:t>
            </w:r>
          </w:p>
          <w:p w14:paraId="272B19B3" w14:textId="1EC2D043" w:rsidR="00895CC5" w:rsidRPr="00FE35AD" w:rsidRDefault="000077A4" w:rsidP="000077A4">
            <w:pPr>
              <w:pStyle w:val="a7"/>
              <w:autoSpaceDN w:val="0"/>
              <w:spacing w:line="300" w:lineRule="exact"/>
              <w:ind w:leftChars="0" w:left="0" w:firstLine="240"/>
              <w:rPr>
                <w:rFonts w:hAnsi="ＭＳ 明朝"/>
                <w:sz w:val="24"/>
                <w:u w:val="single"/>
              </w:rPr>
            </w:pPr>
            <w:r w:rsidRPr="000077A4">
              <w:rPr>
                <w:rFonts w:hAnsi="ＭＳ 明朝" w:hint="eastAsia"/>
                <w:sz w:val="24"/>
                <w:u w:val="single"/>
              </w:rPr>
              <w:t>ｅＬＴＡＸ</w:t>
            </w:r>
            <w:r w:rsidR="00895CC5" w:rsidRPr="00FE35AD">
              <w:rPr>
                <w:rFonts w:hAnsi="ＭＳ 明朝" w:hint="eastAsia"/>
                <w:sz w:val="24"/>
                <w:u w:val="single"/>
              </w:rPr>
              <w:t>の導入により府の賦課徴収事務の業務効率が向上するとともに、納税者の利便性の向上が期待できるところであり、サービスメニューの拡充を検討すべきである。</w:t>
            </w:r>
          </w:p>
          <w:p w14:paraId="272B19B4" w14:textId="7B4BE5AB" w:rsidR="00895CC5" w:rsidRPr="00FE35AD" w:rsidRDefault="00895CC5" w:rsidP="00146298">
            <w:pPr>
              <w:pStyle w:val="a7"/>
              <w:autoSpaceDN w:val="0"/>
              <w:spacing w:line="300" w:lineRule="exact"/>
              <w:ind w:leftChars="0" w:left="0" w:firstLine="240"/>
              <w:rPr>
                <w:rFonts w:hAnsi="ＭＳ 明朝"/>
                <w:sz w:val="24"/>
                <w:u w:val="single"/>
              </w:rPr>
            </w:pPr>
            <w:r w:rsidRPr="00FE35AD">
              <w:rPr>
                <w:rFonts w:hAnsi="ＭＳ 明朝" w:hint="eastAsia"/>
                <w:sz w:val="24"/>
                <w:u w:val="single"/>
              </w:rPr>
              <w:t>特に申請・届出のサービスについては、</w:t>
            </w:r>
            <w:r w:rsidR="000077A4" w:rsidRPr="000077A4">
              <w:rPr>
                <w:rFonts w:hAnsi="ＭＳ 明朝" w:hint="eastAsia"/>
                <w:sz w:val="24"/>
                <w:u w:val="single"/>
              </w:rPr>
              <w:t>ｅＬＴＡＸ</w:t>
            </w:r>
            <w:r w:rsidRPr="00FE35AD">
              <w:rPr>
                <w:rFonts w:hAnsi="ＭＳ 明朝" w:hint="eastAsia"/>
                <w:sz w:val="24"/>
                <w:u w:val="single"/>
              </w:rPr>
              <w:t>運用中の府内市町村のうち貝</w:t>
            </w:r>
            <w:r w:rsidR="002D0D64">
              <w:rPr>
                <w:rFonts w:hAnsi="ＭＳ 明朝" w:hint="eastAsia"/>
                <w:sz w:val="24"/>
                <w:u w:val="single"/>
              </w:rPr>
              <w:t>塚</w:t>
            </w:r>
            <w:r w:rsidRPr="00FE35AD">
              <w:rPr>
                <w:rFonts w:hAnsi="ＭＳ 明朝" w:hint="eastAsia"/>
                <w:sz w:val="24"/>
                <w:u w:val="single"/>
              </w:rPr>
              <w:t>市を除くすべての団体が導入していることもあり、利便性向上の効果が大きく、システム改修等の費用も大きくないと考えられるため、早急にサービスを提供すべきである。</w:t>
            </w:r>
          </w:p>
          <w:p w14:paraId="10D1F687" w14:textId="377C296A" w:rsidR="00327C58" w:rsidRPr="00FE35AD" w:rsidRDefault="00895CC5" w:rsidP="00146298">
            <w:pPr>
              <w:pStyle w:val="a7"/>
              <w:autoSpaceDN w:val="0"/>
              <w:spacing w:line="300" w:lineRule="exact"/>
              <w:ind w:leftChars="0" w:left="0" w:firstLine="240"/>
              <w:rPr>
                <w:rFonts w:hAnsi="ＭＳ 明朝"/>
                <w:sz w:val="24"/>
              </w:rPr>
            </w:pPr>
            <w:r w:rsidRPr="00FE35AD">
              <w:rPr>
                <w:rFonts w:hAnsi="ＭＳ 明朝" w:hint="eastAsia"/>
                <w:sz w:val="24"/>
                <w:u w:val="single"/>
              </w:rPr>
              <w:t>また、電子納税についても、大阪市は導入しており、現状では大阪市税を電子納税しても府税は銀行等に赴いて納付する必要があることから、現状は納税者の利便性を損なっていると考えられる。システム改修等の費用を勘案する必要はあるが、電子納税サービスの導入を積極的に検討することが望まれる（意見番号44）。</w:t>
            </w:r>
          </w:p>
          <w:p w14:paraId="24161168" w14:textId="77777777" w:rsidR="00A802C3" w:rsidRPr="00FE35AD" w:rsidRDefault="00A802C3" w:rsidP="00146298">
            <w:pPr>
              <w:autoSpaceDN w:val="0"/>
              <w:spacing w:line="300" w:lineRule="exact"/>
              <w:rPr>
                <w:rFonts w:ascii="ＭＳ 明朝" w:hAnsi="ＭＳ 明朝"/>
                <w:szCs w:val="21"/>
              </w:rPr>
            </w:pPr>
          </w:p>
          <w:p w14:paraId="272B19B6" w14:textId="77777777" w:rsidR="00A802C3" w:rsidRPr="00FE35AD" w:rsidRDefault="00A802C3" w:rsidP="00146298">
            <w:pPr>
              <w:autoSpaceDN w:val="0"/>
              <w:spacing w:line="300" w:lineRule="exact"/>
              <w:rPr>
                <w:rFonts w:ascii="ＭＳ 明朝" w:hAnsi="ＭＳ 明朝"/>
                <w:szCs w:val="21"/>
              </w:rPr>
            </w:pPr>
          </w:p>
        </w:tc>
        <w:tc>
          <w:tcPr>
            <w:tcW w:w="4111" w:type="dxa"/>
            <w:shd w:val="clear" w:color="auto" w:fill="auto"/>
          </w:tcPr>
          <w:p w14:paraId="0966A3BB" w14:textId="77777777" w:rsidR="00B92DFD" w:rsidRPr="00B92DFD" w:rsidRDefault="00B92DFD" w:rsidP="00B92DFD">
            <w:pPr>
              <w:autoSpaceDN w:val="0"/>
              <w:spacing w:line="300" w:lineRule="exact"/>
              <w:ind w:firstLineChars="100" w:firstLine="240"/>
              <w:rPr>
                <w:rFonts w:ascii="ＭＳ 明朝" w:hAnsi="ＭＳ 明朝"/>
                <w:color w:val="000000" w:themeColor="text1"/>
                <w:sz w:val="24"/>
                <w:szCs w:val="21"/>
              </w:rPr>
            </w:pPr>
            <w:r w:rsidRPr="00B92DFD">
              <w:rPr>
                <w:rFonts w:ascii="ＭＳ 明朝" w:hAnsi="ＭＳ 明朝" w:hint="eastAsia"/>
                <w:color w:val="000000" w:themeColor="text1"/>
                <w:sz w:val="24"/>
                <w:szCs w:val="21"/>
              </w:rPr>
              <w:t>ｅＬＴＡＸについては、これまでの電子申告に加え平成23年４月１日から電子申請・届出等のサービスを開始した。</w:t>
            </w:r>
          </w:p>
          <w:p w14:paraId="46A6F3C3" w14:textId="41A3F2E2" w:rsidR="00895CC5" w:rsidRPr="00FE35AD" w:rsidRDefault="00B92DFD" w:rsidP="00B92DFD">
            <w:pPr>
              <w:autoSpaceDN w:val="0"/>
              <w:spacing w:line="300" w:lineRule="exact"/>
              <w:ind w:firstLineChars="100" w:firstLine="240"/>
              <w:rPr>
                <w:rFonts w:ascii="ＭＳ 明朝" w:hAnsi="ＭＳ 明朝"/>
                <w:color w:val="000000" w:themeColor="text1"/>
                <w:sz w:val="24"/>
                <w:szCs w:val="21"/>
              </w:rPr>
            </w:pPr>
            <w:r w:rsidRPr="00B92DFD">
              <w:rPr>
                <w:rFonts w:ascii="ＭＳ 明朝" w:hAnsi="ＭＳ 明朝" w:hint="eastAsia"/>
                <w:color w:val="000000" w:themeColor="text1"/>
                <w:sz w:val="24"/>
                <w:szCs w:val="21"/>
              </w:rPr>
              <w:t>電子納税については、既に導入している府県での利用実績や費用対効果、府の財政状況等を勘案しながら引き続き検討した結果、ｅＬＴＡＸの電子納税を含めて、平成27年度より導入する。</w:t>
            </w:r>
          </w:p>
          <w:p w14:paraId="0DE25E7A"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404F319B"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392EE57F"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5726F8F9"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0D2A5F5F"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2D997D1B"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7461341F"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501975C2"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7BC76DE9"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06058B70"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p w14:paraId="272B19B9" w14:textId="77777777" w:rsidR="006B7AB5" w:rsidRPr="00FE35AD" w:rsidRDefault="006B7AB5" w:rsidP="00146298">
            <w:pPr>
              <w:autoSpaceDN w:val="0"/>
              <w:spacing w:line="300" w:lineRule="exact"/>
              <w:ind w:leftChars="200" w:left="420"/>
              <w:rPr>
                <w:rFonts w:ascii="ＭＳ 明朝" w:hAnsi="ＭＳ 明朝"/>
                <w:color w:val="000000" w:themeColor="text1"/>
                <w:sz w:val="24"/>
                <w:szCs w:val="21"/>
              </w:rPr>
            </w:pPr>
          </w:p>
        </w:tc>
        <w:tc>
          <w:tcPr>
            <w:tcW w:w="1701" w:type="dxa"/>
            <w:shd w:val="clear" w:color="auto" w:fill="auto"/>
          </w:tcPr>
          <w:p w14:paraId="21419699" w14:textId="6683DD5F" w:rsidR="00EE7719" w:rsidRPr="00FE35AD" w:rsidRDefault="00B92DFD" w:rsidP="00EE7719">
            <w:pPr>
              <w:autoSpaceDN w:val="0"/>
              <w:spacing w:line="300" w:lineRule="exact"/>
              <w:rPr>
                <w:rFonts w:ascii="ＭＳ 明朝" w:hAnsi="ＭＳ 明朝"/>
                <w:sz w:val="24"/>
                <w:szCs w:val="21"/>
              </w:rPr>
            </w:pPr>
            <w:r>
              <w:rPr>
                <w:rFonts w:ascii="ＭＳ 明朝" w:hAnsi="ＭＳ 明朝" w:hint="eastAsia"/>
                <w:sz w:val="24"/>
                <w:szCs w:val="21"/>
              </w:rPr>
              <w:t>措置</w:t>
            </w:r>
          </w:p>
          <w:p w14:paraId="272B19BC" w14:textId="5F04C21F" w:rsidR="009D6942" w:rsidRPr="00FE35AD" w:rsidRDefault="009D6942" w:rsidP="00146298">
            <w:pPr>
              <w:autoSpaceDN w:val="0"/>
              <w:spacing w:line="300" w:lineRule="exact"/>
              <w:rPr>
                <w:rFonts w:ascii="ＭＳ 明朝" w:hAnsi="ＭＳ 明朝"/>
                <w:sz w:val="24"/>
                <w:szCs w:val="21"/>
              </w:rPr>
            </w:pPr>
          </w:p>
        </w:tc>
      </w:tr>
      <w:tr w:rsidR="00E90056" w:rsidRPr="00FE35AD" w14:paraId="272B19F6" w14:textId="77777777" w:rsidTr="00146298">
        <w:trPr>
          <w:trHeight w:val="577"/>
        </w:trPr>
        <w:tc>
          <w:tcPr>
            <w:tcW w:w="14601" w:type="dxa"/>
            <w:gridSpan w:val="4"/>
            <w:shd w:val="clear" w:color="auto" w:fill="FFFFFF" w:themeFill="background1"/>
            <w:vAlign w:val="center"/>
          </w:tcPr>
          <w:p w14:paraId="272B19F5" w14:textId="77777777" w:rsidR="000A5B31" w:rsidRPr="00FE35AD" w:rsidRDefault="000A5B31" w:rsidP="00146298">
            <w:pPr>
              <w:pStyle w:val="1"/>
              <w:autoSpaceDN w:val="0"/>
              <w:spacing w:line="300" w:lineRule="exact"/>
              <w:rPr>
                <w:rFonts w:hAnsi="ＭＳ 明朝"/>
                <w:color w:val="000000" w:themeColor="text1"/>
                <w:szCs w:val="28"/>
              </w:rPr>
            </w:pPr>
            <w:bookmarkStart w:id="2" w:name="_Toc282163647"/>
            <w:r w:rsidRPr="0009678F">
              <w:rPr>
                <w:rFonts w:hAnsi="ＭＳ 明朝" w:hint="eastAsia"/>
                <w:color w:val="000000" w:themeColor="text1"/>
                <w:sz w:val="24"/>
                <w:szCs w:val="28"/>
              </w:rPr>
              <w:lastRenderedPageBreak/>
              <w:t>第６　債権管理事務の検討（税金・貸付金以外の債権を対象）</w:t>
            </w:r>
            <w:bookmarkEnd w:id="2"/>
          </w:p>
        </w:tc>
      </w:tr>
      <w:tr w:rsidR="00E90056" w:rsidRPr="00FE35AD" w14:paraId="272B1B19" w14:textId="77777777" w:rsidTr="00A802C3">
        <w:trPr>
          <w:trHeight w:val="5190"/>
        </w:trPr>
        <w:tc>
          <w:tcPr>
            <w:tcW w:w="1890" w:type="dxa"/>
          </w:tcPr>
          <w:p w14:paraId="272B1B07"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第６</w:t>
            </w:r>
          </w:p>
          <w:p w14:paraId="272B1B08"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09" w14:textId="77777777" w:rsidR="000A5B31" w:rsidRPr="00FE35AD" w:rsidRDefault="000A5B31" w:rsidP="00146298">
            <w:pPr>
              <w:pStyle w:val="ae"/>
              <w:autoSpaceDN w:val="0"/>
              <w:spacing w:line="300" w:lineRule="exact"/>
              <w:ind w:leftChars="0" w:left="0"/>
              <w:rPr>
                <w:rFonts w:hAnsi="ＭＳ 明朝"/>
                <w:color w:val="auto"/>
                <w:sz w:val="24"/>
                <w:szCs w:val="20"/>
              </w:rPr>
            </w:pPr>
          </w:p>
          <w:p w14:paraId="272B1B0A" w14:textId="77777777" w:rsidR="000A5B31" w:rsidRPr="00FE35AD" w:rsidRDefault="000A5B31"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0B" w14:textId="77777777" w:rsidR="000A5B31" w:rsidRPr="00FE35AD" w:rsidRDefault="000A5B31" w:rsidP="00146298">
            <w:pPr>
              <w:autoSpaceDN w:val="0"/>
              <w:spacing w:line="300" w:lineRule="exact"/>
              <w:rPr>
                <w:rFonts w:ascii="ＭＳ 明朝" w:hAnsi="ＭＳ 明朝"/>
                <w:kern w:val="0"/>
                <w:sz w:val="24"/>
                <w:szCs w:val="20"/>
              </w:rPr>
            </w:pPr>
            <w:r w:rsidRPr="00FE35AD">
              <w:rPr>
                <w:rFonts w:ascii="ＭＳ 明朝" w:hAnsi="ＭＳ 明朝" w:hint="eastAsia"/>
                <w:kern w:val="0"/>
                <w:sz w:val="24"/>
                <w:szCs w:val="20"/>
              </w:rPr>
              <w:t>（７）補助金交付決定額の一部取消に伴う返還命令金</w:t>
            </w:r>
          </w:p>
          <w:p w14:paraId="272B1B0C" w14:textId="77777777" w:rsidR="000A5B31" w:rsidRPr="00FE35AD" w:rsidRDefault="000A5B31" w:rsidP="00146298">
            <w:pPr>
              <w:pStyle w:val="af0"/>
              <w:autoSpaceDN w:val="0"/>
              <w:spacing w:line="300" w:lineRule="exact"/>
              <w:ind w:leftChars="0" w:left="0"/>
              <w:rPr>
                <w:rFonts w:hAnsi="ＭＳ 明朝"/>
                <w:color w:val="auto"/>
                <w:sz w:val="24"/>
                <w:szCs w:val="20"/>
              </w:rPr>
            </w:pPr>
          </w:p>
          <w:p w14:paraId="272B1B0D" w14:textId="77777777" w:rsidR="000A5B31" w:rsidRPr="00FE35AD" w:rsidRDefault="000A5B31"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②意見</w:t>
            </w:r>
          </w:p>
          <w:p w14:paraId="272B1B0E" w14:textId="77777777" w:rsidR="000A5B31" w:rsidRPr="00FE35AD" w:rsidRDefault="000A5B31" w:rsidP="00146298">
            <w:pPr>
              <w:pStyle w:val="ab"/>
              <w:autoSpaceDN w:val="0"/>
              <w:spacing w:line="300" w:lineRule="exact"/>
              <w:ind w:leftChars="0" w:left="0"/>
              <w:rPr>
                <w:rFonts w:hAnsi="ＭＳ 明朝"/>
                <w:color w:val="auto"/>
                <w:sz w:val="24"/>
                <w:szCs w:val="20"/>
              </w:rPr>
            </w:pPr>
            <w:r w:rsidRPr="00FE35AD">
              <w:rPr>
                <w:rFonts w:hAnsi="ＭＳ 明朝" w:hint="eastAsia"/>
                <w:color w:val="auto"/>
                <w:sz w:val="24"/>
                <w:szCs w:val="20"/>
              </w:rPr>
              <w:t>（Ａ）法人の財政状態を把握し、継続的な回収努力が必要</w:t>
            </w:r>
          </w:p>
          <w:p w14:paraId="272B1B0F" w14:textId="77777777" w:rsidR="000A5B31" w:rsidRPr="00FE35AD" w:rsidRDefault="000A5B31" w:rsidP="00146298">
            <w:pPr>
              <w:pStyle w:val="ab"/>
              <w:autoSpaceDN w:val="0"/>
              <w:spacing w:line="300" w:lineRule="exact"/>
              <w:ind w:leftChars="0" w:left="0"/>
              <w:rPr>
                <w:rFonts w:hAnsi="ＭＳ 明朝"/>
                <w:color w:val="auto"/>
                <w:sz w:val="24"/>
                <w:szCs w:val="21"/>
              </w:rPr>
            </w:pPr>
          </w:p>
        </w:tc>
        <w:tc>
          <w:tcPr>
            <w:tcW w:w="6899" w:type="dxa"/>
          </w:tcPr>
          <w:p w14:paraId="272B1B10" w14:textId="77777777" w:rsidR="000A5B31" w:rsidRPr="00FE35AD" w:rsidRDefault="000A5B31"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現在の返還状況は債権残高に対して５％以下であり、平成21年度の返済実績から算定すると、元本完済までに100年近く要することになる。しかし当法人に対しては府以外の多額の債権者も存在し、この中には一般債権である府債権より優先弁済権を有する債権もあるため、府が施設の差押え等による強制徴収を申し立てても実効性はない。</w:t>
            </w:r>
          </w:p>
          <w:p w14:paraId="0AE97681" w14:textId="698A6C22" w:rsidR="00FE35AD" w:rsidRPr="002E6C75" w:rsidRDefault="000A5B31"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当該債務が解消された後には、府への返済額が増加することが期待されることから、施設の入所者の生活に多大な支障をきたすことがないよう、法人の健全経営に配慮しつつ早期の返済を求めているところである。</w:t>
            </w:r>
          </w:p>
          <w:p w14:paraId="272B1B12" w14:textId="3ADBF265" w:rsidR="000A5B31" w:rsidRPr="00FE35AD" w:rsidRDefault="000A5B31" w:rsidP="00146298">
            <w:pPr>
              <w:pStyle w:val="a7"/>
              <w:autoSpaceDN w:val="0"/>
              <w:spacing w:line="300" w:lineRule="exact"/>
              <w:ind w:leftChars="0" w:left="0" w:firstLine="240"/>
              <w:rPr>
                <w:rFonts w:hAnsi="ＭＳ 明朝"/>
                <w:sz w:val="24"/>
                <w:u w:val="single"/>
              </w:rPr>
            </w:pPr>
            <w:r w:rsidRPr="00FE35AD">
              <w:rPr>
                <w:rFonts w:hAnsi="ＭＳ 明朝" w:hint="eastAsia"/>
                <w:sz w:val="24"/>
                <w:u w:val="single"/>
              </w:rPr>
              <w:t>今後、法人の財政状態を把握しつつ、着実な回収努力を続けていく必要がある(意見番号60)。</w:t>
            </w:r>
          </w:p>
          <w:p w14:paraId="272B1B13" w14:textId="77777777" w:rsidR="000A5B31" w:rsidRPr="00FE35AD" w:rsidRDefault="000A5B31" w:rsidP="00146298">
            <w:pPr>
              <w:autoSpaceDN w:val="0"/>
              <w:spacing w:line="300" w:lineRule="exact"/>
              <w:ind w:left="210"/>
              <w:rPr>
                <w:rFonts w:ascii="ＭＳ 明朝" w:hAnsi="ＭＳ 明朝"/>
                <w:szCs w:val="21"/>
              </w:rPr>
            </w:pPr>
          </w:p>
        </w:tc>
        <w:tc>
          <w:tcPr>
            <w:tcW w:w="4111" w:type="dxa"/>
            <w:shd w:val="clear" w:color="auto" w:fill="auto"/>
          </w:tcPr>
          <w:p w14:paraId="272B1B15" w14:textId="1165B935" w:rsidR="000A5B31" w:rsidRPr="00FE35AD" w:rsidRDefault="00DA597D" w:rsidP="00DA597D">
            <w:pPr>
              <w:autoSpaceDN w:val="0"/>
              <w:spacing w:line="300" w:lineRule="exact"/>
              <w:ind w:firstLineChars="100" w:firstLine="240"/>
              <w:rPr>
                <w:rFonts w:ascii="ＭＳ 明朝" w:hAnsi="ＭＳ 明朝"/>
                <w:color w:val="000000" w:themeColor="text1"/>
                <w:sz w:val="24"/>
                <w:szCs w:val="21"/>
              </w:rPr>
            </w:pPr>
            <w:r w:rsidRPr="00CB4733">
              <w:rPr>
                <w:rFonts w:ascii="ＭＳ 明朝" w:hAnsi="ＭＳ 明朝" w:hint="eastAsia"/>
                <w:sz w:val="24"/>
                <w:szCs w:val="21"/>
              </w:rPr>
              <w:t>平成25年度の包括外部監査の指摘を踏まえて引き続き法人と返済額についての協議を行い、確実な回収に努めていく。</w:t>
            </w:r>
          </w:p>
        </w:tc>
        <w:tc>
          <w:tcPr>
            <w:tcW w:w="1701" w:type="dxa"/>
            <w:shd w:val="clear" w:color="auto" w:fill="auto"/>
          </w:tcPr>
          <w:p w14:paraId="272B1B18" w14:textId="382B2039" w:rsidR="000A5B31" w:rsidRPr="00FE35AD" w:rsidRDefault="00DA597D" w:rsidP="00DA597D">
            <w:pPr>
              <w:autoSpaceDN w:val="0"/>
              <w:spacing w:line="300" w:lineRule="exact"/>
              <w:rPr>
                <w:rFonts w:ascii="ＭＳ 明朝" w:hAnsi="ＭＳ 明朝"/>
                <w:sz w:val="24"/>
                <w:szCs w:val="21"/>
              </w:rPr>
            </w:pPr>
            <w:r w:rsidRPr="00FE35AD">
              <w:rPr>
                <w:rFonts w:ascii="ＭＳ 明朝" w:hAnsi="ＭＳ 明朝" w:hint="eastAsia"/>
                <w:sz w:val="24"/>
                <w:szCs w:val="21"/>
              </w:rPr>
              <w:t>経過報告</w:t>
            </w:r>
          </w:p>
        </w:tc>
      </w:tr>
      <w:tr w:rsidR="00A033DB" w:rsidRPr="00FE35AD" w14:paraId="272B1B3A" w14:textId="77777777" w:rsidTr="00A802C3">
        <w:trPr>
          <w:trHeight w:val="4952"/>
        </w:trPr>
        <w:tc>
          <w:tcPr>
            <w:tcW w:w="1890" w:type="dxa"/>
          </w:tcPr>
          <w:p w14:paraId="272B1B1A"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第６</w:t>
            </w:r>
          </w:p>
          <w:p w14:paraId="272B1B1B"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1C" w14:textId="77777777" w:rsidR="00A033DB" w:rsidRPr="00FE35AD" w:rsidRDefault="00A033DB" w:rsidP="00146298">
            <w:pPr>
              <w:pStyle w:val="ae"/>
              <w:autoSpaceDN w:val="0"/>
              <w:spacing w:line="300" w:lineRule="exact"/>
              <w:ind w:leftChars="0" w:left="0"/>
              <w:rPr>
                <w:rFonts w:hAnsi="ＭＳ 明朝"/>
                <w:color w:val="auto"/>
                <w:sz w:val="24"/>
                <w:szCs w:val="20"/>
              </w:rPr>
            </w:pPr>
          </w:p>
          <w:p w14:paraId="272B1B1D" w14:textId="77777777" w:rsidR="00A033DB" w:rsidRPr="00FE35AD" w:rsidRDefault="00A033DB"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1E" w14:textId="77777777" w:rsidR="00A033DB" w:rsidRPr="00FE35AD" w:rsidRDefault="00A033DB" w:rsidP="00146298">
            <w:pPr>
              <w:autoSpaceDN w:val="0"/>
              <w:spacing w:line="300" w:lineRule="exact"/>
              <w:rPr>
                <w:rFonts w:ascii="ＭＳ 明朝" w:hAnsi="ＭＳ 明朝"/>
                <w:sz w:val="24"/>
                <w:szCs w:val="20"/>
              </w:rPr>
            </w:pPr>
          </w:p>
          <w:p w14:paraId="272B1B1F" w14:textId="77777777" w:rsidR="00A033DB" w:rsidRPr="00FE35AD" w:rsidRDefault="00A033DB"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（８）障害者扶養共済制度掛金</w:t>
            </w:r>
          </w:p>
          <w:p w14:paraId="272B1B20" w14:textId="77777777" w:rsidR="00A033DB" w:rsidRPr="00FE35AD" w:rsidRDefault="00A033DB" w:rsidP="00146298">
            <w:pPr>
              <w:autoSpaceDN w:val="0"/>
              <w:spacing w:line="300" w:lineRule="exact"/>
              <w:rPr>
                <w:rFonts w:ascii="ＭＳ 明朝" w:hAnsi="ＭＳ 明朝"/>
                <w:sz w:val="24"/>
                <w:szCs w:val="20"/>
              </w:rPr>
            </w:pPr>
          </w:p>
          <w:p w14:paraId="272B1B21" w14:textId="77777777" w:rsidR="00A033DB" w:rsidRPr="00FE35AD" w:rsidRDefault="00A033DB"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②意見</w:t>
            </w:r>
          </w:p>
          <w:p w14:paraId="272B1B30" w14:textId="375B8E51" w:rsidR="001767C0" w:rsidRPr="00FE35AD" w:rsidRDefault="00A033DB"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（Ａ）回収可能性を判断して適時に不納欠損処分を行うべき</w:t>
            </w:r>
          </w:p>
        </w:tc>
        <w:tc>
          <w:tcPr>
            <w:tcW w:w="6899" w:type="dxa"/>
          </w:tcPr>
          <w:p w14:paraId="272B1B31" w14:textId="77777777" w:rsidR="00A033DB" w:rsidRPr="00FE35AD" w:rsidRDefault="00A033DB"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平成21年度末時点の収入未済額一覧によると、最も長期間にわたって滞留している債権は昭和49年に発生した4,100円（３件）であり、加入者はそれぞれ昭和61年、平成元年、平成10年に脱退していた。債務者からの時効の援用がなかったため時効が成立していないことから不納欠損処分がなされていなかった。</w:t>
            </w:r>
          </w:p>
          <w:p w14:paraId="272B1B32" w14:textId="77777777" w:rsidR="00A033DB" w:rsidRPr="00FE35AD" w:rsidRDefault="00A033DB" w:rsidP="00FE35AD">
            <w:pPr>
              <w:pStyle w:val="a7"/>
              <w:autoSpaceDN w:val="0"/>
              <w:spacing w:line="300" w:lineRule="exact"/>
              <w:ind w:leftChars="0" w:left="0" w:firstLine="200"/>
              <w:rPr>
                <w:rFonts w:hAnsi="ＭＳ 明朝"/>
                <w:kern w:val="0"/>
                <w:sz w:val="20"/>
                <w:szCs w:val="21"/>
              </w:rPr>
            </w:pPr>
            <w:r w:rsidRPr="00FE35AD">
              <w:rPr>
                <w:rFonts w:hAnsi="ＭＳ 明朝" w:hint="eastAsia"/>
                <w:kern w:val="0"/>
                <w:sz w:val="20"/>
                <w:szCs w:val="21"/>
              </w:rPr>
              <w:t>平成21年度末の収入未済額108,011千円のうち、脱退者に係る分は105,558千円であり、約98％を占めている。脱退者の滞納債権については、脱退した滞納者にとって滞納掛金を支払うことに何のメリットもなく、滞納債権の納入が期待できない。また</w:t>
            </w:r>
            <w:r w:rsidRPr="00FE35AD">
              <w:rPr>
                <w:rFonts w:hAnsi="ＭＳ 明朝" w:hint="eastAsia"/>
                <w:sz w:val="20"/>
                <w:szCs w:val="21"/>
              </w:rPr>
              <w:t>、債権発生から35年以上も経過した債権であることから、債務者の中には民間の保険と同様、掛金を支払わないことによって自然と脱退したものと考え、今さら掛金を支払うことなど全く考えていない脱退者もいると予想される。</w:t>
            </w:r>
          </w:p>
          <w:p w14:paraId="78630CA8" w14:textId="2680B02C" w:rsidR="00FE35AD" w:rsidRPr="00FE35AD" w:rsidRDefault="00A033DB"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このため、時効期間が経過した脱退者に係る滞納債権については不納欠損処分することが望まれるが、当債権は私債権であるため、債務者からの援用がなければ時効とならないことから、過去において不納欠損処分を行った事例がない。私債権の時効期間である10年が経過した債権等、</w:t>
            </w:r>
          </w:p>
          <w:p w14:paraId="272B1B34" w14:textId="203F85F4" w:rsidR="00A033DB" w:rsidRPr="00FE35AD" w:rsidRDefault="00A033DB" w:rsidP="001E4A2A">
            <w:pPr>
              <w:pStyle w:val="a7"/>
              <w:autoSpaceDN w:val="0"/>
              <w:spacing w:line="300" w:lineRule="exact"/>
              <w:ind w:leftChars="0" w:left="0" w:firstLine="240"/>
              <w:rPr>
                <w:rFonts w:hAnsi="ＭＳ 明朝"/>
                <w:kern w:val="0"/>
                <w:sz w:val="24"/>
                <w:u w:val="single"/>
              </w:rPr>
            </w:pPr>
            <w:r w:rsidRPr="00FE35AD">
              <w:rPr>
                <w:rFonts w:hAnsi="ＭＳ 明朝" w:hint="eastAsia"/>
                <w:sz w:val="24"/>
                <w:u w:val="single"/>
              </w:rPr>
              <w:t>回収可能性の乏しい債権については新条例に基づく債権放棄を行ったうえで不納欠損処分すべきである（意見番号61）。</w:t>
            </w:r>
          </w:p>
          <w:p w14:paraId="79263F6E" w14:textId="77777777" w:rsidR="00A033DB" w:rsidRPr="00FE35AD" w:rsidRDefault="00A033DB" w:rsidP="00146298">
            <w:pPr>
              <w:autoSpaceDN w:val="0"/>
              <w:spacing w:line="300" w:lineRule="exact"/>
              <w:ind w:left="210"/>
              <w:rPr>
                <w:rFonts w:ascii="ＭＳ 明朝" w:hAnsi="ＭＳ 明朝"/>
                <w:sz w:val="18"/>
                <w:szCs w:val="18"/>
              </w:rPr>
            </w:pPr>
          </w:p>
          <w:p w14:paraId="4B5C56EC" w14:textId="77777777" w:rsidR="00146298" w:rsidRPr="00FE35AD" w:rsidRDefault="00146298" w:rsidP="00146298">
            <w:pPr>
              <w:autoSpaceDN w:val="0"/>
              <w:spacing w:line="300" w:lineRule="exact"/>
              <w:ind w:left="210"/>
              <w:rPr>
                <w:rFonts w:ascii="ＭＳ 明朝" w:hAnsi="ＭＳ 明朝"/>
                <w:sz w:val="18"/>
                <w:szCs w:val="18"/>
              </w:rPr>
            </w:pPr>
          </w:p>
          <w:p w14:paraId="307F6E3B" w14:textId="77777777" w:rsidR="00146298" w:rsidRDefault="00146298" w:rsidP="00146298">
            <w:pPr>
              <w:autoSpaceDN w:val="0"/>
              <w:spacing w:line="300" w:lineRule="exact"/>
              <w:ind w:left="210"/>
              <w:rPr>
                <w:rFonts w:ascii="ＭＳ 明朝" w:hAnsi="ＭＳ 明朝"/>
                <w:sz w:val="18"/>
                <w:szCs w:val="18"/>
              </w:rPr>
            </w:pPr>
          </w:p>
          <w:p w14:paraId="5FA03320" w14:textId="77777777" w:rsidR="00FE35AD" w:rsidRDefault="00FE35AD" w:rsidP="00146298">
            <w:pPr>
              <w:autoSpaceDN w:val="0"/>
              <w:spacing w:line="300" w:lineRule="exact"/>
              <w:ind w:left="210"/>
              <w:rPr>
                <w:rFonts w:ascii="ＭＳ 明朝" w:hAnsi="ＭＳ 明朝"/>
                <w:sz w:val="18"/>
                <w:szCs w:val="18"/>
              </w:rPr>
            </w:pPr>
          </w:p>
          <w:p w14:paraId="1FD6395B" w14:textId="77777777" w:rsidR="00FE35AD" w:rsidRPr="00FE35AD" w:rsidRDefault="00FE35AD" w:rsidP="00146298">
            <w:pPr>
              <w:autoSpaceDN w:val="0"/>
              <w:spacing w:line="300" w:lineRule="exact"/>
              <w:ind w:left="210"/>
              <w:rPr>
                <w:rFonts w:ascii="ＭＳ 明朝" w:hAnsi="ＭＳ 明朝"/>
                <w:sz w:val="18"/>
                <w:szCs w:val="18"/>
              </w:rPr>
            </w:pPr>
          </w:p>
          <w:p w14:paraId="272B1B35" w14:textId="77777777" w:rsidR="00146298" w:rsidRPr="00FE35AD" w:rsidRDefault="00146298" w:rsidP="00146298">
            <w:pPr>
              <w:autoSpaceDN w:val="0"/>
              <w:spacing w:line="300" w:lineRule="exact"/>
              <w:ind w:left="210"/>
              <w:rPr>
                <w:rFonts w:ascii="ＭＳ 明朝" w:hAnsi="ＭＳ 明朝"/>
                <w:sz w:val="18"/>
                <w:szCs w:val="18"/>
              </w:rPr>
            </w:pPr>
          </w:p>
        </w:tc>
        <w:tc>
          <w:tcPr>
            <w:tcW w:w="4111" w:type="dxa"/>
            <w:shd w:val="clear" w:color="auto" w:fill="auto"/>
          </w:tcPr>
          <w:p w14:paraId="5E6A7E1B" w14:textId="57D88570" w:rsidR="00B92DFD" w:rsidRPr="00B92DFD" w:rsidRDefault="00B92DFD" w:rsidP="00B92DFD">
            <w:pPr>
              <w:autoSpaceDN w:val="0"/>
              <w:spacing w:line="300" w:lineRule="exact"/>
              <w:ind w:firstLineChars="100" w:firstLine="240"/>
              <w:rPr>
                <w:rFonts w:ascii="ＭＳ 明朝" w:hAnsi="ＭＳ 明朝"/>
                <w:color w:val="000000" w:themeColor="text1"/>
                <w:sz w:val="24"/>
                <w:szCs w:val="21"/>
              </w:rPr>
            </w:pPr>
            <w:r w:rsidRPr="00B92DFD">
              <w:rPr>
                <w:rFonts w:ascii="ＭＳ 明朝" w:hAnsi="ＭＳ 明朝" w:hint="eastAsia"/>
                <w:color w:val="000000" w:themeColor="text1"/>
                <w:sz w:val="24"/>
                <w:szCs w:val="21"/>
              </w:rPr>
              <w:t>指摘のあった時効期間を経過している脱退者に係る滞納債権については、現地訪問などを通じて債権ごとに実態把握を進め、回収可能性を見極めた上で、回収不能の債権については債権放棄に向けた取組に努めていく。</w:t>
            </w:r>
          </w:p>
          <w:p w14:paraId="272B1B36" w14:textId="3674C460" w:rsidR="00A033DB" w:rsidRPr="00FE35AD" w:rsidRDefault="00B92DFD" w:rsidP="00B92DFD">
            <w:pPr>
              <w:autoSpaceDN w:val="0"/>
              <w:spacing w:line="300" w:lineRule="exact"/>
              <w:ind w:firstLineChars="100" w:firstLine="240"/>
              <w:rPr>
                <w:rFonts w:ascii="ＭＳ 明朝" w:hAnsi="ＭＳ 明朝"/>
                <w:color w:val="000000" w:themeColor="text1"/>
                <w:sz w:val="24"/>
                <w:szCs w:val="21"/>
              </w:rPr>
            </w:pPr>
            <w:r w:rsidRPr="00CB4733">
              <w:rPr>
                <w:rFonts w:ascii="ＭＳ 明朝" w:hAnsi="ＭＳ 明朝" w:hint="eastAsia"/>
                <w:sz w:val="24"/>
                <w:szCs w:val="21"/>
              </w:rPr>
              <w:t>平成25年度においては、9,471,600円を不納欠損処理。平成26年度においては、条例第６条第２項第４号及び条例第６条第３項による債権放棄による債権放棄を検討している。</w:t>
            </w:r>
          </w:p>
        </w:tc>
        <w:tc>
          <w:tcPr>
            <w:tcW w:w="1701" w:type="dxa"/>
            <w:shd w:val="clear" w:color="auto" w:fill="auto"/>
          </w:tcPr>
          <w:p w14:paraId="272B1B37" w14:textId="5ACF0D64" w:rsidR="00EE7719" w:rsidRPr="00FE35AD" w:rsidRDefault="00A033DB" w:rsidP="00EE7719">
            <w:pPr>
              <w:autoSpaceDN w:val="0"/>
              <w:spacing w:line="300" w:lineRule="exact"/>
              <w:rPr>
                <w:rFonts w:ascii="ＭＳ 明朝" w:hAnsi="ＭＳ 明朝"/>
                <w:sz w:val="24"/>
                <w:szCs w:val="21"/>
              </w:rPr>
            </w:pPr>
            <w:r w:rsidRPr="00FE35AD">
              <w:rPr>
                <w:rFonts w:ascii="ＭＳ 明朝" w:hAnsi="ＭＳ 明朝" w:hint="eastAsia"/>
                <w:sz w:val="24"/>
                <w:szCs w:val="21"/>
              </w:rPr>
              <w:t>経過報告</w:t>
            </w:r>
          </w:p>
          <w:p w14:paraId="272B1B39" w14:textId="69800AFD" w:rsidR="00A033DB" w:rsidRPr="00FE35AD" w:rsidRDefault="00A033DB" w:rsidP="00146298">
            <w:pPr>
              <w:autoSpaceDN w:val="0"/>
              <w:spacing w:line="300" w:lineRule="exact"/>
              <w:rPr>
                <w:rFonts w:ascii="ＭＳ 明朝" w:hAnsi="ＭＳ 明朝"/>
                <w:sz w:val="24"/>
                <w:szCs w:val="21"/>
              </w:rPr>
            </w:pPr>
          </w:p>
        </w:tc>
      </w:tr>
      <w:tr w:rsidR="00E90056" w:rsidRPr="00FE35AD" w14:paraId="272B1B4C" w14:textId="77777777" w:rsidTr="00A802C3">
        <w:trPr>
          <w:trHeight w:val="900"/>
        </w:trPr>
        <w:tc>
          <w:tcPr>
            <w:tcW w:w="1890" w:type="dxa"/>
          </w:tcPr>
          <w:p w14:paraId="272B1B3B"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第６</w:t>
            </w:r>
          </w:p>
          <w:p w14:paraId="272B1B3C"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3D" w14:textId="77777777" w:rsidR="000A5B31" w:rsidRPr="00FE35AD" w:rsidRDefault="000A5B31" w:rsidP="00146298">
            <w:pPr>
              <w:pStyle w:val="ae"/>
              <w:autoSpaceDN w:val="0"/>
              <w:spacing w:line="300" w:lineRule="exact"/>
              <w:ind w:leftChars="0" w:left="0"/>
              <w:rPr>
                <w:rFonts w:hAnsi="ＭＳ 明朝"/>
                <w:color w:val="auto"/>
                <w:sz w:val="24"/>
                <w:szCs w:val="20"/>
              </w:rPr>
            </w:pPr>
          </w:p>
          <w:p w14:paraId="272B1B3E" w14:textId="77777777" w:rsidR="000A5B31" w:rsidRPr="00FE35AD" w:rsidRDefault="000A5B31"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3F" w14:textId="77777777" w:rsidR="000A5B31" w:rsidRPr="00FE35AD" w:rsidRDefault="000A5B31" w:rsidP="00146298">
            <w:pPr>
              <w:autoSpaceDN w:val="0"/>
              <w:spacing w:line="300" w:lineRule="exact"/>
              <w:rPr>
                <w:rFonts w:ascii="ＭＳ 明朝" w:hAnsi="ＭＳ 明朝"/>
                <w:sz w:val="24"/>
              </w:rPr>
            </w:pPr>
          </w:p>
          <w:p w14:paraId="272B1B40" w14:textId="77777777" w:rsidR="000A5B31" w:rsidRPr="00FE35AD" w:rsidRDefault="000A5B31" w:rsidP="00146298">
            <w:pPr>
              <w:autoSpaceDN w:val="0"/>
              <w:spacing w:line="300" w:lineRule="exact"/>
              <w:rPr>
                <w:rFonts w:ascii="ＭＳ 明朝" w:hAnsi="ＭＳ 明朝"/>
                <w:sz w:val="24"/>
              </w:rPr>
            </w:pPr>
            <w:r w:rsidRPr="00FE35AD">
              <w:rPr>
                <w:rFonts w:ascii="ＭＳ 明朝" w:hAnsi="ＭＳ 明朝" w:hint="eastAsia"/>
                <w:sz w:val="24"/>
              </w:rPr>
              <w:t>（８）障害者扶養共済制度掛金</w:t>
            </w:r>
          </w:p>
          <w:p w14:paraId="272B1B41" w14:textId="77777777" w:rsidR="000A5B31" w:rsidRPr="00FE35AD" w:rsidRDefault="000A5B31" w:rsidP="00146298">
            <w:pPr>
              <w:pStyle w:val="af0"/>
              <w:autoSpaceDN w:val="0"/>
              <w:spacing w:line="300" w:lineRule="exact"/>
              <w:ind w:leftChars="0" w:left="0"/>
              <w:rPr>
                <w:rFonts w:hAnsi="ＭＳ 明朝"/>
                <w:color w:val="auto"/>
                <w:sz w:val="24"/>
              </w:rPr>
            </w:pPr>
            <w:r w:rsidRPr="00FE35AD">
              <w:rPr>
                <w:rFonts w:hAnsi="ＭＳ 明朝" w:hint="eastAsia"/>
                <w:color w:val="auto"/>
                <w:sz w:val="24"/>
              </w:rPr>
              <w:t>②意見</w:t>
            </w:r>
          </w:p>
          <w:p w14:paraId="272B1B42" w14:textId="77777777" w:rsidR="000A5B31" w:rsidRPr="00FE35AD" w:rsidRDefault="000A5B31" w:rsidP="00146298">
            <w:pPr>
              <w:autoSpaceDN w:val="0"/>
              <w:spacing w:line="300" w:lineRule="exact"/>
              <w:rPr>
                <w:rFonts w:ascii="ＭＳ 明朝" w:hAnsi="ＭＳ 明朝"/>
                <w:szCs w:val="21"/>
              </w:rPr>
            </w:pPr>
            <w:r w:rsidRPr="00FE35AD">
              <w:rPr>
                <w:rFonts w:ascii="ＭＳ 明朝" w:hAnsi="ＭＳ 明朝" w:hint="eastAsia"/>
                <w:sz w:val="24"/>
              </w:rPr>
              <w:t>（Ｂ）債権管理マニュアルを厳格に適用すべき</w:t>
            </w:r>
          </w:p>
        </w:tc>
        <w:tc>
          <w:tcPr>
            <w:tcW w:w="6899" w:type="dxa"/>
          </w:tcPr>
          <w:p w14:paraId="272B1B43" w14:textId="77777777" w:rsidR="000A5B31" w:rsidRPr="00FE35AD" w:rsidRDefault="000A5B31"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大阪府障害者扶養共済制度条例（以下「条例」という。）第18条第３項及び同施行規則第14条によると、知事は加入者が掛金の支払いを３カ月以上滞納したときは、加入者を脱退させることができると定められている。しかし府においては、当条例はあくまで「できる」規程であり、過去５年間において強制的に脱退をさせた例は７件に留まる。</w:t>
            </w:r>
          </w:p>
          <w:p w14:paraId="272B1B44" w14:textId="77777777" w:rsidR="000A5B31" w:rsidRPr="00FE35AD" w:rsidRDefault="000A5B31"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長期滞納者に対しても加入継続を認めてきたのは、制度趣旨に基づき障がい者をもつ家族の意思を尊重して個々のケースを考慮したためであり、加入者の全てに対して、公平に継続を認めてきた結果である。</w:t>
            </w:r>
          </w:p>
          <w:p w14:paraId="44B9228E" w14:textId="1A98CE87" w:rsidR="00FE35AD" w:rsidRPr="002E6C75" w:rsidRDefault="000A5B31"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しかしながら、期間を区切らずに滞納者の継続加入を認めて、その間府が滞納者の掛け金を機構に支払い続けることは、通常納付者との公平性の観点から問題である。</w:t>
            </w:r>
          </w:p>
          <w:p w14:paraId="272B1B46" w14:textId="3BF0C105" w:rsidR="000A5B31" w:rsidRPr="00FE35AD" w:rsidRDefault="000A5B31" w:rsidP="00146298">
            <w:pPr>
              <w:pStyle w:val="a7"/>
              <w:autoSpaceDN w:val="0"/>
              <w:spacing w:line="300" w:lineRule="exact"/>
              <w:ind w:leftChars="0" w:left="0" w:firstLine="240"/>
              <w:rPr>
                <w:rFonts w:hAnsi="ＭＳ 明朝"/>
                <w:sz w:val="24"/>
              </w:rPr>
            </w:pPr>
            <w:r w:rsidRPr="00FE35AD">
              <w:rPr>
                <w:rFonts w:hAnsi="ＭＳ 明朝" w:hint="eastAsia"/>
                <w:sz w:val="24"/>
              </w:rPr>
              <w:t>ついては、</w:t>
            </w:r>
            <w:r w:rsidRPr="00FE35AD">
              <w:rPr>
                <w:rFonts w:hAnsi="ＭＳ 明朝" w:hint="eastAsia"/>
                <w:sz w:val="24"/>
                <w:u w:val="single"/>
              </w:rPr>
              <w:t>加入者の状況に十分配慮した納付指導に努め、度重なる指導をもっても納付意思を示さないような債務者に対しては、強制脱退させるなど「大阪府障がい者扶養共済制度債権管理マニュアル」を厳格に適用すべきである（意見番号62）。</w:t>
            </w:r>
          </w:p>
          <w:p w14:paraId="272B1B47" w14:textId="77777777" w:rsidR="000A5B31" w:rsidRPr="00FE35AD" w:rsidRDefault="000A5B31" w:rsidP="00146298">
            <w:pPr>
              <w:autoSpaceDN w:val="0"/>
              <w:spacing w:line="300" w:lineRule="exact"/>
              <w:ind w:left="210"/>
              <w:rPr>
                <w:rFonts w:ascii="ＭＳ 明朝" w:hAnsi="ＭＳ 明朝"/>
                <w:szCs w:val="21"/>
              </w:rPr>
            </w:pPr>
          </w:p>
        </w:tc>
        <w:tc>
          <w:tcPr>
            <w:tcW w:w="4111" w:type="dxa"/>
            <w:shd w:val="clear" w:color="auto" w:fill="auto"/>
          </w:tcPr>
          <w:p w14:paraId="66AC5E6D" w14:textId="56F849B1" w:rsidR="00B92DFD" w:rsidRPr="00CB4733" w:rsidRDefault="00B92DFD" w:rsidP="00B92DFD">
            <w:pPr>
              <w:autoSpaceDN w:val="0"/>
              <w:spacing w:line="300" w:lineRule="exact"/>
              <w:ind w:firstLineChars="100" w:firstLine="240"/>
              <w:rPr>
                <w:rFonts w:ascii="ＭＳ 明朝" w:hAnsi="ＭＳ 明朝"/>
                <w:sz w:val="24"/>
              </w:rPr>
            </w:pPr>
            <w:r w:rsidRPr="00B92DFD">
              <w:rPr>
                <w:rFonts w:ascii="ＭＳ 明朝" w:hAnsi="ＭＳ 明朝" w:hint="eastAsia"/>
                <w:sz w:val="24"/>
              </w:rPr>
              <w:t>指摘のあった加入者への納付指導については、加入者の滞納状況や生活実態を踏まえ、必要に応じて分割納付について案内</w:t>
            </w:r>
            <w:r w:rsidRPr="00CB4733">
              <w:rPr>
                <w:rFonts w:ascii="ＭＳ 明朝" w:hAnsi="ＭＳ 明朝" w:hint="eastAsia"/>
                <w:sz w:val="24"/>
              </w:rPr>
              <w:t>した。</w:t>
            </w:r>
          </w:p>
          <w:p w14:paraId="5DAA50EE" w14:textId="75D55F6E" w:rsidR="00B92DFD" w:rsidRPr="00CB4733" w:rsidRDefault="00B92DFD" w:rsidP="00B92DFD">
            <w:pPr>
              <w:autoSpaceDN w:val="0"/>
              <w:spacing w:line="300" w:lineRule="exact"/>
              <w:ind w:firstLineChars="100" w:firstLine="240"/>
              <w:rPr>
                <w:rFonts w:ascii="ＭＳ 明朝" w:hAnsi="ＭＳ 明朝"/>
                <w:strike/>
                <w:sz w:val="24"/>
              </w:rPr>
            </w:pPr>
            <w:r w:rsidRPr="00CB4733">
              <w:rPr>
                <w:rFonts w:ascii="ＭＳ 明朝" w:hAnsi="ＭＳ 明朝" w:hint="eastAsia"/>
                <w:sz w:val="24"/>
              </w:rPr>
              <w:t>なお、納付意志を示さない加入者については、脱退に向けた取組を実施し、昨年度５件の脱退があった。</w:t>
            </w:r>
          </w:p>
          <w:p w14:paraId="272B1B48" w14:textId="52BD4B5A" w:rsidR="000A5B31" w:rsidRPr="00FE35AD" w:rsidRDefault="00CB4733" w:rsidP="00401F31">
            <w:pPr>
              <w:autoSpaceDN w:val="0"/>
              <w:spacing w:line="300" w:lineRule="exact"/>
              <w:ind w:firstLineChars="100" w:firstLine="240"/>
              <w:rPr>
                <w:rFonts w:ascii="ＭＳ 明朝" w:hAnsi="ＭＳ 明朝"/>
                <w:color w:val="000000" w:themeColor="text1"/>
                <w:sz w:val="24"/>
              </w:rPr>
            </w:pPr>
            <w:r>
              <w:rPr>
                <w:rFonts w:ascii="ＭＳ 明朝" w:hAnsi="ＭＳ 明朝" w:hint="eastAsia"/>
                <w:sz w:val="24"/>
              </w:rPr>
              <w:t>今後の取組</w:t>
            </w:r>
            <w:r w:rsidR="00B92DFD" w:rsidRPr="00CB4733">
              <w:rPr>
                <w:rFonts w:ascii="ＭＳ 明朝" w:hAnsi="ＭＳ 明朝" w:hint="eastAsia"/>
                <w:sz w:val="24"/>
              </w:rPr>
              <w:t>にあたっては、税政課債権</w:t>
            </w:r>
            <w:r w:rsidR="00401F31">
              <w:rPr>
                <w:rFonts w:ascii="ＭＳ 明朝" w:hAnsi="ＭＳ 明朝" w:hint="eastAsia"/>
                <w:sz w:val="24"/>
              </w:rPr>
              <w:t>特別回収・整理グループと連携を図り整理・回収に向けた具体的な取</w:t>
            </w:r>
            <w:r w:rsidR="00B92DFD" w:rsidRPr="00CB4733">
              <w:rPr>
                <w:rFonts w:ascii="ＭＳ 明朝" w:hAnsi="ＭＳ 明朝" w:hint="eastAsia"/>
                <w:sz w:val="24"/>
              </w:rPr>
              <w:t>組に努めていく。</w:t>
            </w:r>
          </w:p>
        </w:tc>
        <w:tc>
          <w:tcPr>
            <w:tcW w:w="1701" w:type="dxa"/>
            <w:shd w:val="clear" w:color="auto" w:fill="auto"/>
          </w:tcPr>
          <w:p w14:paraId="272B1B4B" w14:textId="75379299" w:rsidR="000A5B31" w:rsidRPr="00FE35AD" w:rsidRDefault="00B92DFD" w:rsidP="00146298">
            <w:pPr>
              <w:autoSpaceDN w:val="0"/>
              <w:spacing w:line="300" w:lineRule="exact"/>
              <w:rPr>
                <w:rFonts w:ascii="ＭＳ 明朝" w:hAnsi="ＭＳ 明朝"/>
                <w:sz w:val="24"/>
              </w:rPr>
            </w:pPr>
            <w:r w:rsidRPr="00CB4733">
              <w:rPr>
                <w:rFonts w:ascii="ＭＳ 明朝" w:hAnsi="ＭＳ 明朝" w:hint="eastAsia"/>
                <w:sz w:val="24"/>
              </w:rPr>
              <w:t>措置</w:t>
            </w:r>
          </w:p>
        </w:tc>
      </w:tr>
      <w:tr w:rsidR="00E90056" w:rsidRPr="00FE35AD" w14:paraId="272B1B61" w14:textId="77777777" w:rsidTr="00A802C3">
        <w:trPr>
          <w:trHeight w:val="5385"/>
        </w:trPr>
        <w:tc>
          <w:tcPr>
            <w:tcW w:w="1890" w:type="dxa"/>
          </w:tcPr>
          <w:p w14:paraId="272B1B4D"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第６</w:t>
            </w:r>
          </w:p>
          <w:p w14:paraId="272B1B4E" w14:textId="77777777" w:rsidR="000A5B31" w:rsidRPr="00FE35AD" w:rsidRDefault="000A5B31" w:rsidP="00146298">
            <w:pPr>
              <w:pStyle w:val="a9"/>
              <w:autoSpaceDN w:val="0"/>
              <w:spacing w:line="300" w:lineRule="exact"/>
              <w:rPr>
                <w:rFonts w:hAnsi="ＭＳ 明朝"/>
                <w:color w:val="auto"/>
                <w:szCs w:val="20"/>
              </w:rPr>
            </w:pPr>
            <w:r w:rsidRPr="00FE35AD">
              <w:rPr>
                <w:rFonts w:hAnsi="ＭＳ 明朝" w:hint="eastAsia"/>
                <w:color w:val="auto"/>
                <w:szCs w:val="20"/>
              </w:rPr>
              <w:t>【２】監査の結果及びこれに添えて提出する意見</w:t>
            </w:r>
          </w:p>
          <w:p w14:paraId="272B1B4F" w14:textId="77777777" w:rsidR="000A5B31" w:rsidRPr="00FE35AD" w:rsidRDefault="000A5B31" w:rsidP="00146298">
            <w:pPr>
              <w:pStyle w:val="ae"/>
              <w:autoSpaceDN w:val="0"/>
              <w:spacing w:line="300" w:lineRule="exact"/>
              <w:ind w:leftChars="0" w:left="0"/>
              <w:rPr>
                <w:rFonts w:hAnsi="ＭＳ 明朝"/>
                <w:color w:val="auto"/>
                <w:sz w:val="24"/>
                <w:szCs w:val="20"/>
              </w:rPr>
            </w:pPr>
          </w:p>
          <w:p w14:paraId="272B1B50" w14:textId="77777777" w:rsidR="000A5B31" w:rsidRPr="00FE35AD" w:rsidRDefault="000A5B31"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２．個別債権に対する監査の結果及び意見</w:t>
            </w:r>
          </w:p>
          <w:p w14:paraId="272B1B51" w14:textId="77777777" w:rsidR="000A5B31" w:rsidRPr="00FE35AD" w:rsidRDefault="000A5B31" w:rsidP="00146298">
            <w:pPr>
              <w:autoSpaceDN w:val="0"/>
              <w:spacing w:line="300" w:lineRule="exact"/>
              <w:rPr>
                <w:rFonts w:ascii="ＭＳ 明朝" w:hAnsi="ＭＳ 明朝"/>
                <w:sz w:val="24"/>
                <w:szCs w:val="20"/>
              </w:rPr>
            </w:pPr>
          </w:p>
          <w:p w14:paraId="272B1B52" w14:textId="77777777" w:rsidR="000A5B31" w:rsidRPr="00FE35AD" w:rsidRDefault="000A5B31" w:rsidP="00146298">
            <w:pPr>
              <w:autoSpaceDN w:val="0"/>
              <w:spacing w:line="300" w:lineRule="exact"/>
              <w:rPr>
                <w:rFonts w:ascii="ＭＳ 明朝" w:hAnsi="ＭＳ 明朝"/>
                <w:sz w:val="24"/>
                <w:szCs w:val="20"/>
              </w:rPr>
            </w:pPr>
            <w:r w:rsidRPr="00FE35AD">
              <w:rPr>
                <w:rFonts w:ascii="ＭＳ 明朝" w:hAnsi="ＭＳ 明朝" w:hint="eastAsia"/>
                <w:sz w:val="24"/>
                <w:szCs w:val="20"/>
              </w:rPr>
              <w:t>（８）障害者扶養共済制度掛金</w:t>
            </w:r>
          </w:p>
          <w:p w14:paraId="272B1B53" w14:textId="77777777" w:rsidR="000A5B31" w:rsidRPr="00FE35AD" w:rsidRDefault="000A5B31" w:rsidP="00146298">
            <w:pPr>
              <w:autoSpaceDN w:val="0"/>
              <w:spacing w:line="300" w:lineRule="exact"/>
              <w:rPr>
                <w:rFonts w:ascii="ＭＳ 明朝" w:hAnsi="ＭＳ 明朝"/>
                <w:sz w:val="24"/>
                <w:szCs w:val="20"/>
              </w:rPr>
            </w:pPr>
          </w:p>
          <w:p w14:paraId="272B1B54" w14:textId="77777777" w:rsidR="000A5B31" w:rsidRPr="00FE35AD" w:rsidRDefault="000A5B31" w:rsidP="00146298">
            <w:pPr>
              <w:pStyle w:val="af0"/>
              <w:autoSpaceDN w:val="0"/>
              <w:spacing w:line="300" w:lineRule="exact"/>
              <w:ind w:leftChars="0" w:left="0"/>
              <w:rPr>
                <w:rFonts w:hAnsi="ＭＳ 明朝"/>
                <w:color w:val="auto"/>
                <w:sz w:val="24"/>
                <w:szCs w:val="20"/>
              </w:rPr>
            </w:pPr>
            <w:r w:rsidRPr="00FE35AD">
              <w:rPr>
                <w:rFonts w:hAnsi="ＭＳ 明朝" w:hint="eastAsia"/>
                <w:color w:val="auto"/>
                <w:sz w:val="24"/>
                <w:szCs w:val="20"/>
              </w:rPr>
              <w:t>②意見</w:t>
            </w:r>
          </w:p>
          <w:p w14:paraId="272B1B57" w14:textId="45CDC016" w:rsidR="000A5B31" w:rsidRPr="00FE35AD" w:rsidRDefault="000A5B31" w:rsidP="00146298">
            <w:pPr>
              <w:pStyle w:val="a7"/>
              <w:autoSpaceDN w:val="0"/>
              <w:spacing w:line="300" w:lineRule="exact"/>
              <w:ind w:leftChars="0" w:left="0" w:firstLineChars="0" w:firstLine="0"/>
              <w:rPr>
                <w:rFonts w:hAnsi="ＭＳ 明朝"/>
                <w:sz w:val="24"/>
                <w:szCs w:val="20"/>
              </w:rPr>
            </w:pPr>
            <w:r w:rsidRPr="00FE35AD">
              <w:rPr>
                <w:rFonts w:hAnsi="ＭＳ 明朝" w:hint="eastAsia"/>
                <w:sz w:val="24"/>
                <w:szCs w:val="20"/>
              </w:rPr>
              <w:t>（Ｃ）債務者別・発生年度別の未収金の明細書を作成し、タイムリーな督促を行うべき</w:t>
            </w:r>
          </w:p>
        </w:tc>
        <w:tc>
          <w:tcPr>
            <w:tcW w:w="6899" w:type="dxa"/>
          </w:tcPr>
          <w:p w14:paraId="272B1B58" w14:textId="77777777" w:rsidR="000A5B31" w:rsidRPr="00FE35AD" w:rsidRDefault="000A5B31"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対象者が当月以前にも滞納している掛金がある場合にはこれらを別途集計した明細書を毎月、同封し債務確認及び督促を行っている。また、債務者別の督促状況については、情報システム上では詳細記述ができないため、情報システムから基本情報を出力し、督促に係る記録を別の様式に手書で転記し、債務者別にファイリングしている。当記録を閲覧したところ、債務者別の督促状況の把握は良好であった。</w:t>
            </w:r>
          </w:p>
          <w:p w14:paraId="0D6F84DF" w14:textId="20B29758" w:rsidR="00FE35AD" w:rsidRPr="00FE35AD" w:rsidRDefault="000A5B31" w:rsidP="002E6C75">
            <w:pPr>
              <w:pStyle w:val="a7"/>
              <w:autoSpaceDN w:val="0"/>
              <w:spacing w:line="300" w:lineRule="exact"/>
              <w:ind w:leftChars="0" w:left="0" w:firstLine="200"/>
              <w:rPr>
                <w:rFonts w:hAnsi="ＭＳ 明朝"/>
                <w:sz w:val="20"/>
                <w:szCs w:val="21"/>
              </w:rPr>
            </w:pPr>
            <w:r w:rsidRPr="00FE35AD">
              <w:rPr>
                <w:rFonts w:hAnsi="ＭＳ 明朝" w:hint="eastAsia"/>
                <w:sz w:val="20"/>
                <w:szCs w:val="21"/>
              </w:rPr>
              <w:t>しかし、脱退済みの者や過年度にのみ滞納がある加入者については、毎月の督促の対象にならず、タイムリーな督促が行われていない。</w:t>
            </w:r>
          </w:p>
          <w:p w14:paraId="272B1B5A" w14:textId="6C114C1B" w:rsidR="000A5B31" w:rsidRPr="00FE35AD" w:rsidRDefault="000A5B31" w:rsidP="00146298">
            <w:pPr>
              <w:pStyle w:val="a7"/>
              <w:autoSpaceDN w:val="0"/>
              <w:spacing w:line="300" w:lineRule="exact"/>
              <w:ind w:leftChars="0" w:left="0" w:firstLine="240"/>
              <w:rPr>
                <w:rFonts w:hAnsi="ＭＳ 明朝"/>
                <w:sz w:val="24"/>
              </w:rPr>
            </w:pPr>
            <w:r w:rsidRPr="00FE35AD">
              <w:rPr>
                <w:rFonts w:hAnsi="ＭＳ 明朝" w:hint="eastAsia"/>
                <w:sz w:val="24"/>
                <w:u w:val="single"/>
              </w:rPr>
              <w:t>月次で、債務者別・発生年度別の未収金の明細書を作成して、更なる債権管理の強化に努めるべきである（意見番号63）。</w:t>
            </w:r>
          </w:p>
          <w:p w14:paraId="272B1B5B" w14:textId="77777777" w:rsidR="000A5B31" w:rsidRPr="00FE35AD" w:rsidRDefault="000A5B31" w:rsidP="00146298">
            <w:pPr>
              <w:pStyle w:val="a7"/>
              <w:autoSpaceDN w:val="0"/>
              <w:spacing w:line="300" w:lineRule="exact"/>
              <w:ind w:leftChars="0" w:left="0" w:firstLineChars="0" w:firstLine="0"/>
              <w:rPr>
                <w:rFonts w:hAnsi="ＭＳ 明朝"/>
                <w:sz w:val="20"/>
                <w:szCs w:val="20"/>
              </w:rPr>
            </w:pPr>
          </w:p>
          <w:p w14:paraId="4E6F98CF" w14:textId="77777777" w:rsidR="000A5B31" w:rsidRPr="00FE35AD" w:rsidRDefault="000A5B31" w:rsidP="00146298">
            <w:pPr>
              <w:autoSpaceDN w:val="0"/>
              <w:spacing w:line="300" w:lineRule="exact"/>
              <w:ind w:left="210"/>
              <w:rPr>
                <w:rFonts w:ascii="ＭＳ 明朝" w:hAnsi="ＭＳ 明朝"/>
                <w:szCs w:val="21"/>
              </w:rPr>
            </w:pPr>
          </w:p>
          <w:p w14:paraId="2A461FCE" w14:textId="77777777" w:rsidR="007E0C05" w:rsidRPr="00FE35AD" w:rsidRDefault="007E0C05" w:rsidP="00146298">
            <w:pPr>
              <w:autoSpaceDN w:val="0"/>
              <w:spacing w:line="300" w:lineRule="exact"/>
              <w:ind w:left="210"/>
              <w:rPr>
                <w:rFonts w:ascii="ＭＳ 明朝" w:hAnsi="ＭＳ 明朝"/>
                <w:szCs w:val="21"/>
              </w:rPr>
            </w:pPr>
          </w:p>
          <w:p w14:paraId="23B4A6C0" w14:textId="77777777" w:rsidR="007E0C05" w:rsidRDefault="007E0C05" w:rsidP="00146298">
            <w:pPr>
              <w:autoSpaceDN w:val="0"/>
              <w:spacing w:line="300" w:lineRule="exact"/>
              <w:ind w:left="210"/>
              <w:rPr>
                <w:rFonts w:ascii="ＭＳ 明朝" w:hAnsi="ＭＳ 明朝"/>
                <w:szCs w:val="21"/>
              </w:rPr>
            </w:pPr>
          </w:p>
          <w:p w14:paraId="0A4905FA" w14:textId="77777777" w:rsidR="00FE35AD" w:rsidRDefault="00FE35AD" w:rsidP="00146298">
            <w:pPr>
              <w:autoSpaceDN w:val="0"/>
              <w:spacing w:line="300" w:lineRule="exact"/>
              <w:ind w:left="210"/>
              <w:rPr>
                <w:rFonts w:ascii="ＭＳ 明朝" w:hAnsi="ＭＳ 明朝"/>
                <w:szCs w:val="21"/>
              </w:rPr>
            </w:pPr>
          </w:p>
          <w:p w14:paraId="2E770CAE" w14:textId="77777777" w:rsidR="00FE35AD" w:rsidRDefault="00FE35AD" w:rsidP="00146298">
            <w:pPr>
              <w:autoSpaceDN w:val="0"/>
              <w:spacing w:line="300" w:lineRule="exact"/>
              <w:ind w:left="210"/>
              <w:rPr>
                <w:rFonts w:ascii="ＭＳ 明朝" w:hAnsi="ＭＳ 明朝"/>
                <w:szCs w:val="21"/>
              </w:rPr>
            </w:pPr>
          </w:p>
          <w:p w14:paraId="282E4648" w14:textId="77777777" w:rsidR="00FE35AD" w:rsidRDefault="00FE35AD" w:rsidP="00146298">
            <w:pPr>
              <w:autoSpaceDN w:val="0"/>
              <w:spacing w:line="300" w:lineRule="exact"/>
              <w:ind w:left="210"/>
              <w:rPr>
                <w:rFonts w:ascii="ＭＳ 明朝" w:hAnsi="ＭＳ 明朝"/>
                <w:szCs w:val="21"/>
              </w:rPr>
            </w:pPr>
          </w:p>
          <w:p w14:paraId="124AEE2F" w14:textId="77777777" w:rsidR="00FE35AD" w:rsidRPr="00FE35AD" w:rsidRDefault="00FE35AD" w:rsidP="00146298">
            <w:pPr>
              <w:autoSpaceDN w:val="0"/>
              <w:spacing w:line="300" w:lineRule="exact"/>
              <w:ind w:left="210"/>
              <w:rPr>
                <w:rFonts w:ascii="ＭＳ 明朝" w:hAnsi="ＭＳ 明朝"/>
                <w:szCs w:val="21"/>
              </w:rPr>
            </w:pPr>
          </w:p>
          <w:p w14:paraId="646DDB01" w14:textId="77777777" w:rsidR="00146298" w:rsidRPr="00FE35AD" w:rsidRDefault="00146298" w:rsidP="00146298">
            <w:pPr>
              <w:autoSpaceDN w:val="0"/>
              <w:spacing w:line="300" w:lineRule="exact"/>
              <w:ind w:left="210"/>
              <w:rPr>
                <w:rFonts w:ascii="ＭＳ 明朝" w:hAnsi="ＭＳ 明朝"/>
                <w:szCs w:val="21"/>
              </w:rPr>
            </w:pPr>
          </w:p>
          <w:p w14:paraId="6577AB99" w14:textId="77777777" w:rsidR="00146298" w:rsidRDefault="00146298" w:rsidP="00146298">
            <w:pPr>
              <w:autoSpaceDN w:val="0"/>
              <w:spacing w:line="300" w:lineRule="exact"/>
              <w:ind w:left="210"/>
              <w:rPr>
                <w:rFonts w:ascii="ＭＳ 明朝" w:hAnsi="ＭＳ 明朝"/>
                <w:szCs w:val="21"/>
              </w:rPr>
            </w:pPr>
          </w:p>
          <w:p w14:paraId="2CE9C1F1" w14:textId="77777777" w:rsidR="002E6C75" w:rsidRPr="00FE35AD" w:rsidRDefault="002E6C75" w:rsidP="00146298">
            <w:pPr>
              <w:autoSpaceDN w:val="0"/>
              <w:spacing w:line="300" w:lineRule="exact"/>
              <w:ind w:left="210"/>
              <w:rPr>
                <w:rFonts w:ascii="ＭＳ 明朝" w:hAnsi="ＭＳ 明朝"/>
                <w:szCs w:val="21"/>
              </w:rPr>
            </w:pPr>
          </w:p>
          <w:p w14:paraId="3AFEFE8C" w14:textId="77777777" w:rsidR="00146298" w:rsidRPr="00FE35AD" w:rsidRDefault="00146298" w:rsidP="00146298">
            <w:pPr>
              <w:autoSpaceDN w:val="0"/>
              <w:spacing w:line="300" w:lineRule="exact"/>
              <w:ind w:left="210"/>
              <w:rPr>
                <w:rFonts w:ascii="ＭＳ 明朝" w:hAnsi="ＭＳ 明朝"/>
                <w:szCs w:val="21"/>
              </w:rPr>
            </w:pPr>
          </w:p>
          <w:p w14:paraId="133A6478" w14:textId="77777777" w:rsidR="00146298" w:rsidRPr="00FE35AD" w:rsidRDefault="00146298" w:rsidP="00146298">
            <w:pPr>
              <w:autoSpaceDN w:val="0"/>
              <w:spacing w:line="300" w:lineRule="exact"/>
              <w:ind w:left="210"/>
              <w:rPr>
                <w:rFonts w:ascii="ＭＳ 明朝" w:hAnsi="ＭＳ 明朝"/>
                <w:szCs w:val="21"/>
              </w:rPr>
            </w:pPr>
          </w:p>
          <w:p w14:paraId="272B1B5C" w14:textId="77777777" w:rsidR="00146298" w:rsidRPr="00FE35AD" w:rsidRDefault="00146298" w:rsidP="00146298">
            <w:pPr>
              <w:autoSpaceDN w:val="0"/>
              <w:spacing w:line="300" w:lineRule="exact"/>
              <w:ind w:left="210"/>
              <w:rPr>
                <w:rFonts w:ascii="ＭＳ 明朝" w:hAnsi="ＭＳ 明朝"/>
                <w:szCs w:val="21"/>
              </w:rPr>
            </w:pPr>
          </w:p>
        </w:tc>
        <w:tc>
          <w:tcPr>
            <w:tcW w:w="4111" w:type="dxa"/>
            <w:shd w:val="clear" w:color="auto" w:fill="auto"/>
          </w:tcPr>
          <w:p w14:paraId="3FBCE92B" w14:textId="77777777" w:rsidR="00CB4733" w:rsidRDefault="00B92DFD" w:rsidP="00CB4733">
            <w:pPr>
              <w:autoSpaceDN w:val="0"/>
              <w:spacing w:line="300" w:lineRule="exact"/>
              <w:ind w:firstLineChars="100" w:firstLine="240"/>
              <w:rPr>
                <w:rFonts w:ascii="ＭＳ 明朝" w:hAnsi="ＭＳ 明朝"/>
                <w:color w:val="000000" w:themeColor="text1"/>
                <w:sz w:val="24"/>
                <w:szCs w:val="21"/>
              </w:rPr>
            </w:pPr>
            <w:r w:rsidRPr="00B92DFD">
              <w:rPr>
                <w:rFonts w:ascii="ＭＳ 明朝" w:hAnsi="ＭＳ 明朝" w:hint="eastAsia"/>
                <w:color w:val="000000" w:themeColor="text1"/>
                <w:sz w:val="24"/>
                <w:szCs w:val="21"/>
              </w:rPr>
              <w:t>指摘のあった月次の債務者別・発生年度別の未収金の明細書については、</w:t>
            </w:r>
            <w:r w:rsidRPr="00CB4733">
              <w:rPr>
                <w:rFonts w:ascii="ＭＳ 明朝" w:hAnsi="ＭＳ 明朝" w:hint="eastAsia"/>
                <w:sz w:val="24"/>
                <w:szCs w:val="21"/>
              </w:rPr>
              <w:t>平成24年度におい</w:t>
            </w:r>
            <w:r w:rsidRPr="00B92DFD">
              <w:rPr>
                <w:rFonts w:ascii="ＭＳ 明朝" w:hAnsi="ＭＳ 明朝" w:hint="eastAsia"/>
                <w:color w:val="000000" w:themeColor="text1"/>
                <w:sz w:val="24"/>
                <w:szCs w:val="21"/>
              </w:rPr>
              <w:t>て作成した。</w:t>
            </w:r>
          </w:p>
          <w:p w14:paraId="272B1B5D" w14:textId="6E014CF7" w:rsidR="000A5B31" w:rsidRPr="00FE35AD" w:rsidRDefault="00B92DFD" w:rsidP="00CB4733">
            <w:pPr>
              <w:autoSpaceDN w:val="0"/>
              <w:spacing w:line="300" w:lineRule="exact"/>
              <w:ind w:firstLineChars="100" w:firstLine="240"/>
              <w:rPr>
                <w:rFonts w:ascii="ＭＳ 明朝" w:hAnsi="ＭＳ 明朝"/>
                <w:color w:val="000000" w:themeColor="text1"/>
                <w:sz w:val="24"/>
                <w:szCs w:val="21"/>
              </w:rPr>
            </w:pPr>
            <w:r w:rsidRPr="00B92DFD">
              <w:rPr>
                <w:rFonts w:ascii="ＭＳ 明朝" w:hAnsi="ＭＳ 明朝" w:hint="eastAsia"/>
                <w:color w:val="000000" w:themeColor="text1"/>
                <w:sz w:val="24"/>
                <w:szCs w:val="21"/>
              </w:rPr>
              <w:t>今後の債権管理については、月ごとの督促に加え、未収金の明細書も活用していく。</w:t>
            </w:r>
          </w:p>
        </w:tc>
        <w:tc>
          <w:tcPr>
            <w:tcW w:w="1701" w:type="dxa"/>
            <w:shd w:val="clear" w:color="auto" w:fill="auto"/>
          </w:tcPr>
          <w:p w14:paraId="272B1B60" w14:textId="72BF8F97" w:rsidR="000A5B31" w:rsidRPr="00FE35AD" w:rsidRDefault="00B92DFD" w:rsidP="00146298">
            <w:pPr>
              <w:autoSpaceDN w:val="0"/>
              <w:spacing w:line="300" w:lineRule="exact"/>
              <w:rPr>
                <w:rFonts w:ascii="ＭＳ 明朝" w:hAnsi="ＭＳ 明朝"/>
                <w:sz w:val="24"/>
                <w:szCs w:val="21"/>
              </w:rPr>
            </w:pPr>
            <w:r w:rsidRPr="00CB4733">
              <w:rPr>
                <w:rFonts w:ascii="ＭＳ 明朝" w:hAnsi="ＭＳ 明朝" w:hint="eastAsia"/>
                <w:sz w:val="24"/>
                <w:szCs w:val="21"/>
              </w:rPr>
              <w:t>措置</w:t>
            </w:r>
          </w:p>
        </w:tc>
      </w:tr>
      <w:tr w:rsidR="00A033DB" w:rsidRPr="00FE35AD" w14:paraId="272B1B90" w14:textId="77777777" w:rsidTr="00A802C3">
        <w:trPr>
          <w:trHeight w:val="566"/>
        </w:trPr>
        <w:tc>
          <w:tcPr>
            <w:tcW w:w="1890" w:type="dxa"/>
          </w:tcPr>
          <w:p w14:paraId="272B1B7F"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第６</w:t>
            </w:r>
          </w:p>
          <w:p w14:paraId="272B1B80" w14:textId="77777777" w:rsidR="00A033DB" w:rsidRPr="00FE35AD" w:rsidRDefault="00A033DB" w:rsidP="00146298">
            <w:pPr>
              <w:pStyle w:val="a9"/>
              <w:autoSpaceDN w:val="0"/>
              <w:spacing w:line="300" w:lineRule="exact"/>
              <w:rPr>
                <w:rFonts w:hAnsi="ＭＳ 明朝"/>
                <w:color w:val="auto"/>
                <w:szCs w:val="20"/>
              </w:rPr>
            </w:pPr>
            <w:r w:rsidRPr="00FE35AD">
              <w:rPr>
                <w:rFonts w:hAnsi="ＭＳ 明朝" w:hint="eastAsia"/>
                <w:color w:val="auto"/>
                <w:szCs w:val="20"/>
              </w:rPr>
              <w:t>【３】その他債権管理全般に関する指摘</w:t>
            </w:r>
          </w:p>
          <w:p w14:paraId="272B1B81" w14:textId="77777777" w:rsidR="00A033DB" w:rsidRPr="00FE35AD" w:rsidRDefault="00A033DB" w:rsidP="00146298">
            <w:pPr>
              <w:pStyle w:val="ae"/>
              <w:autoSpaceDN w:val="0"/>
              <w:spacing w:line="300" w:lineRule="exact"/>
              <w:ind w:leftChars="0" w:left="0"/>
              <w:rPr>
                <w:rFonts w:hAnsi="ＭＳ 明朝"/>
                <w:color w:val="auto"/>
                <w:sz w:val="24"/>
                <w:szCs w:val="20"/>
              </w:rPr>
            </w:pPr>
          </w:p>
          <w:p w14:paraId="272B1B82" w14:textId="77777777" w:rsidR="00A033DB" w:rsidRPr="00FE35AD" w:rsidRDefault="00A033DB" w:rsidP="00146298">
            <w:pPr>
              <w:pStyle w:val="a9"/>
              <w:autoSpaceDN w:val="0"/>
              <w:spacing w:line="300" w:lineRule="exact"/>
              <w:rPr>
                <w:rFonts w:hAnsi="ＭＳ 明朝"/>
                <w:color w:val="auto"/>
                <w:szCs w:val="21"/>
              </w:rPr>
            </w:pPr>
            <w:r w:rsidRPr="00FE35AD">
              <w:rPr>
                <w:rFonts w:hAnsi="ＭＳ 明朝" w:hint="eastAsia"/>
                <w:color w:val="auto"/>
                <w:szCs w:val="20"/>
              </w:rPr>
              <w:t>３．財産調査結果の積極的な共有化を行うべき</w:t>
            </w:r>
          </w:p>
        </w:tc>
        <w:tc>
          <w:tcPr>
            <w:tcW w:w="6899" w:type="dxa"/>
          </w:tcPr>
          <w:p w14:paraId="272B1B83" w14:textId="77777777" w:rsidR="00A033DB" w:rsidRPr="00FE35AD" w:rsidRDefault="00A033DB"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府では、平成23年度より、一部の債権については、事業事務を行う主体と債権管理部門を区分し、債権管理を債権特別回収・整理チームに担わせることを予定している。</w:t>
            </w:r>
          </w:p>
          <w:p w14:paraId="272B1B84" w14:textId="77777777" w:rsidR="00A033DB" w:rsidRPr="00FE35AD" w:rsidRDefault="00A033DB" w:rsidP="00FE35AD">
            <w:pPr>
              <w:pStyle w:val="a7"/>
              <w:autoSpaceDN w:val="0"/>
              <w:spacing w:line="300" w:lineRule="exact"/>
              <w:ind w:leftChars="0" w:left="0" w:firstLine="200"/>
              <w:rPr>
                <w:rFonts w:hAnsi="ＭＳ 明朝"/>
                <w:sz w:val="20"/>
                <w:szCs w:val="21"/>
              </w:rPr>
            </w:pPr>
            <w:r w:rsidRPr="00FE35AD">
              <w:rPr>
                <w:rFonts w:hAnsi="ＭＳ 明朝" w:hint="eastAsia"/>
                <w:sz w:val="20"/>
                <w:szCs w:val="21"/>
              </w:rPr>
              <w:t>当該チームの業務遂行により複数の債権を滞納している債務者の財産調査結果等の情報の共有を行うことができ、効率的な債権回収が可能になると考える。</w:t>
            </w:r>
          </w:p>
          <w:p w14:paraId="30861030" w14:textId="0F3FDD10" w:rsidR="00FE35AD" w:rsidRPr="002E6C75" w:rsidRDefault="00A033DB" w:rsidP="002E6C75">
            <w:pPr>
              <w:pStyle w:val="a7"/>
              <w:autoSpaceDN w:val="0"/>
              <w:spacing w:line="300" w:lineRule="exact"/>
              <w:ind w:leftChars="0" w:left="0" w:firstLine="200"/>
              <w:rPr>
                <w:rFonts w:hAnsi="ＭＳ 明朝"/>
                <w:sz w:val="20"/>
                <w:szCs w:val="18"/>
              </w:rPr>
            </w:pPr>
            <w:r w:rsidRPr="00FE35AD">
              <w:rPr>
                <w:rFonts w:hAnsi="ＭＳ 明朝" w:hint="eastAsia"/>
                <w:sz w:val="20"/>
                <w:szCs w:val="21"/>
              </w:rPr>
              <w:t>強制徴収公債権の回収にあたっては国税徴収法第141条を根拠とした「質問検査権」を有するため、回収時に得られた財産調査結果（例えば、個人の財産所有状況、連絡先、勤務先等）を強制徴収公債権同士の間では共有することは許され</w:t>
            </w:r>
            <w:r w:rsidRPr="00FE35AD">
              <w:rPr>
                <w:rFonts w:hAnsi="ＭＳ 明朝" w:hint="eastAsia"/>
                <w:sz w:val="20"/>
                <w:szCs w:val="18"/>
              </w:rPr>
              <w:t>ると考えられるが、非強制徴収公債権や私債権への共有はできないと考えられる。一方、「質問検査権」を有さない非強制徴収公債権や私債権については、他の私債権や非強制徴収公債権の回収のために利用することは許されないと考えられる。</w:t>
            </w:r>
          </w:p>
          <w:p w14:paraId="272B1B87" w14:textId="43CB52F7" w:rsidR="00A033DB" w:rsidRPr="00FE35AD" w:rsidRDefault="00A033DB" w:rsidP="00146298">
            <w:pPr>
              <w:pStyle w:val="a7"/>
              <w:autoSpaceDN w:val="0"/>
              <w:spacing w:line="300" w:lineRule="exact"/>
              <w:ind w:leftChars="0" w:left="0" w:firstLine="240"/>
              <w:rPr>
                <w:rFonts w:hAnsi="ＭＳ 明朝"/>
                <w:sz w:val="24"/>
                <w:szCs w:val="20"/>
                <w:u w:val="single"/>
              </w:rPr>
            </w:pPr>
            <w:r w:rsidRPr="00FE35AD">
              <w:rPr>
                <w:rFonts w:hAnsi="ＭＳ 明朝" w:hint="eastAsia"/>
                <w:sz w:val="24"/>
                <w:szCs w:val="20"/>
                <w:u w:val="single"/>
              </w:rPr>
              <w:t>当チームにおいては個人情報の保護に必要な措置を取ることはもちろんであるが、法的に可能な範囲で財産調査結果については各債権間で共有化を図り、債権管理・回収に努めるべきである（意見番号66）。</w:t>
            </w:r>
            <w:bookmarkStart w:id="3" w:name="_GoBack"/>
            <w:bookmarkEnd w:id="3"/>
          </w:p>
          <w:p w14:paraId="272B1B88" w14:textId="77777777" w:rsidR="00A033DB" w:rsidRPr="00FE35AD" w:rsidRDefault="00A033DB" w:rsidP="00146298">
            <w:pPr>
              <w:pStyle w:val="a7"/>
              <w:autoSpaceDN w:val="0"/>
              <w:spacing w:line="300" w:lineRule="exact"/>
              <w:ind w:leftChars="0" w:left="0" w:firstLineChars="0" w:firstLine="0"/>
              <w:rPr>
                <w:rFonts w:hAnsi="ＭＳ 明朝"/>
                <w:sz w:val="16"/>
                <w:szCs w:val="16"/>
              </w:rPr>
            </w:pPr>
          </w:p>
        </w:tc>
        <w:tc>
          <w:tcPr>
            <w:tcW w:w="4111" w:type="dxa"/>
            <w:shd w:val="clear" w:color="auto" w:fill="auto"/>
          </w:tcPr>
          <w:p w14:paraId="26DD596C" w14:textId="2FBF279E" w:rsidR="00B92DFD" w:rsidRPr="00FE35AD" w:rsidRDefault="00B92DFD" w:rsidP="00B92DFD">
            <w:pPr>
              <w:autoSpaceDN w:val="0"/>
              <w:spacing w:line="300" w:lineRule="exact"/>
              <w:ind w:firstLineChars="100" w:firstLine="240"/>
              <w:rPr>
                <w:rFonts w:ascii="ＭＳ 明朝" w:hAnsi="ＭＳ 明朝"/>
                <w:sz w:val="24"/>
                <w:szCs w:val="21"/>
              </w:rPr>
            </w:pPr>
            <w:r w:rsidRPr="00FE35AD">
              <w:rPr>
                <w:rFonts w:ascii="ＭＳ 明朝" w:hAnsi="ＭＳ 明朝" w:hint="eastAsia"/>
                <w:sz w:val="24"/>
                <w:szCs w:val="21"/>
              </w:rPr>
              <w:t>従来、府税では、「質問検査権」で知り得た滞納者の財産調査結果の取扱いに関しては、守秘義務を遵守するため、極めて慎重かつ厳格に対応する立場を採り、他の債権との間では、共有してい</w:t>
            </w:r>
            <w:r w:rsidR="00CB4733">
              <w:rPr>
                <w:rFonts w:ascii="ＭＳ 明朝" w:hAnsi="ＭＳ 明朝" w:hint="eastAsia"/>
                <w:sz w:val="24"/>
                <w:szCs w:val="21"/>
              </w:rPr>
              <w:t>なかった</w:t>
            </w:r>
            <w:r w:rsidRPr="00FE35AD">
              <w:rPr>
                <w:rFonts w:ascii="ＭＳ 明朝" w:hAnsi="ＭＳ 明朝" w:hint="eastAsia"/>
                <w:sz w:val="24"/>
                <w:szCs w:val="21"/>
              </w:rPr>
              <w:t>。</w:t>
            </w:r>
          </w:p>
          <w:p w14:paraId="272B1B8C" w14:textId="382348B3" w:rsidR="005A0B65" w:rsidRPr="00FE35AD" w:rsidRDefault="00B92DFD" w:rsidP="00B92DFD">
            <w:pPr>
              <w:autoSpaceDN w:val="0"/>
              <w:spacing w:line="300" w:lineRule="exact"/>
              <w:ind w:firstLineChars="100" w:firstLine="240"/>
              <w:rPr>
                <w:rFonts w:ascii="ＭＳ 明朝" w:hAnsi="ＭＳ 明朝"/>
                <w:color w:val="000000" w:themeColor="text1"/>
                <w:sz w:val="24"/>
                <w:szCs w:val="21"/>
              </w:rPr>
            </w:pPr>
            <w:r w:rsidRPr="00FE35AD">
              <w:rPr>
                <w:rFonts w:ascii="ＭＳ 明朝" w:hAnsi="ＭＳ 明朝" w:hint="eastAsia"/>
                <w:sz w:val="24"/>
                <w:szCs w:val="21"/>
              </w:rPr>
              <w:t>しかし、より効率的な債権回収を図る観点から、府税で把握している滞納者の財産調査結果を他の強制徴収公債権でも共有できるよう現在、準備を進めているところで</w:t>
            </w:r>
            <w:r w:rsidR="00CB4733">
              <w:rPr>
                <w:rFonts w:ascii="ＭＳ 明朝" w:hAnsi="ＭＳ 明朝" w:hint="eastAsia"/>
                <w:sz w:val="24"/>
                <w:szCs w:val="21"/>
              </w:rPr>
              <w:t>ある</w:t>
            </w:r>
            <w:r w:rsidRPr="00FE35AD">
              <w:rPr>
                <w:rFonts w:ascii="ＭＳ 明朝" w:hAnsi="ＭＳ 明朝" w:hint="eastAsia"/>
                <w:sz w:val="24"/>
                <w:szCs w:val="21"/>
              </w:rPr>
              <w:t>。</w:t>
            </w:r>
          </w:p>
        </w:tc>
        <w:tc>
          <w:tcPr>
            <w:tcW w:w="1701" w:type="dxa"/>
            <w:shd w:val="clear" w:color="auto" w:fill="auto"/>
          </w:tcPr>
          <w:p w14:paraId="272B1B8F" w14:textId="45AF3B05" w:rsidR="00A033DB" w:rsidRPr="00FE35AD" w:rsidRDefault="00A033DB" w:rsidP="00EE7719">
            <w:pPr>
              <w:autoSpaceDN w:val="0"/>
              <w:spacing w:line="300" w:lineRule="exact"/>
              <w:rPr>
                <w:rFonts w:ascii="ＭＳ 明朝" w:hAnsi="ＭＳ 明朝"/>
                <w:sz w:val="24"/>
                <w:szCs w:val="21"/>
              </w:rPr>
            </w:pPr>
            <w:r w:rsidRPr="00FE35AD">
              <w:rPr>
                <w:rFonts w:ascii="ＭＳ 明朝" w:hAnsi="ＭＳ 明朝" w:hint="eastAsia"/>
                <w:sz w:val="24"/>
                <w:szCs w:val="21"/>
              </w:rPr>
              <w:t>経過報告</w:t>
            </w:r>
          </w:p>
        </w:tc>
      </w:tr>
    </w:tbl>
    <w:p w14:paraId="272B1B91" w14:textId="77777777" w:rsidR="0059136A" w:rsidRPr="00FE35AD" w:rsidRDefault="0059136A" w:rsidP="00146298">
      <w:pPr>
        <w:autoSpaceDN w:val="0"/>
        <w:spacing w:line="300" w:lineRule="exact"/>
        <w:rPr>
          <w:rFonts w:ascii="ＭＳ 明朝" w:hAnsi="ＭＳ 明朝"/>
          <w:szCs w:val="21"/>
        </w:rPr>
      </w:pPr>
    </w:p>
    <w:sectPr w:rsidR="0059136A" w:rsidRPr="00FE35AD" w:rsidSect="009845D9">
      <w:headerReference w:type="default" r:id="rId12"/>
      <w:footerReference w:type="default" r:id="rId13"/>
      <w:pgSz w:w="16838" w:h="11906" w:orient="landscape" w:code="9"/>
      <w:pgMar w:top="1418" w:right="1134" w:bottom="1418" w:left="1134" w:header="1417" w:footer="1576"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B52F0" w14:textId="77777777" w:rsidR="009E7EBF" w:rsidRDefault="009E7EBF">
      <w:r>
        <w:separator/>
      </w:r>
    </w:p>
  </w:endnote>
  <w:endnote w:type="continuationSeparator" w:id="0">
    <w:p w14:paraId="01502E32" w14:textId="77777777" w:rsidR="009E7EBF" w:rsidRDefault="009E7EBF">
      <w:r>
        <w:continuationSeparator/>
      </w:r>
    </w:p>
  </w:endnote>
  <w:endnote w:type="continuationNotice" w:id="1">
    <w:p w14:paraId="7EDBD707" w14:textId="77777777" w:rsidR="009E7EBF" w:rsidRDefault="009E7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1B98" w14:textId="77777777" w:rsidR="006B7AB5" w:rsidRDefault="006B7AB5" w:rsidP="004A7191">
    <w:pPr>
      <w:pStyle w:val="a4"/>
      <w:jc w:val="center"/>
    </w:pPr>
    <w:r>
      <w:rPr>
        <w:rStyle w:val="a5"/>
      </w:rPr>
      <w:fldChar w:fldCharType="begin"/>
    </w:r>
    <w:r>
      <w:rPr>
        <w:rStyle w:val="a5"/>
      </w:rPr>
      <w:instrText xml:space="preserve"> PAGE </w:instrText>
    </w:r>
    <w:r>
      <w:rPr>
        <w:rStyle w:val="a5"/>
      </w:rPr>
      <w:fldChar w:fldCharType="separate"/>
    </w:r>
    <w:r w:rsidR="001E4A2A">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1E4A2A">
      <w:rPr>
        <w:rStyle w:val="a5"/>
        <w:noProof/>
      </w:rPr>
      <w:t>6</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3936" w14:textId="77777777" w:rsidR="009E7EBF" w:rsidRDefault="009E7EBF">
      <w:r>
        <w:separator/>
      </w:r>
    </w:p>
  </w:footnote>
  <w:footnote w:type="continuationSeparator" w:id="0">
    <w:p w14:paraId="22110144" w14:textId="77777777" w:rsidR="009E7EBF" w:rsidRDefault="009E7EBF">
      <w:r>
        <w:continuationSeparator/>
      </w:r>
    </w:p>
  </w:footnote>
  <w:footnote w:type="continuationNotice" w:id="1">
    <w:p w14:paraId="69161C8C" w14:textId="77777777" w:rsidR="009E7EBF" w:rsidRDefault="009E7E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B802" w14:textId="77777777" w:rsidR="009845D9" w:rsidRPr="00FE35AD" w:rsidRDefault="009845D9" w:rsidP="009845D9">
    <w:pPr>
      <w:jc w:val="center"/>
      <w:rPr>
        <w:rFonts w:ascii="ＭＳ 明朝" w:hAnsi="ＭＳ 明朝"/>
        <w:sz w:val="24"/>
      </w:rPr>
    </w:pPr>
    <w:r w:rsidRPr="00FE35AD">
      <w:rPr>
        <w:rFonts w:ascii="ＭＳ 明朝" w:hAnsi="ＭＳ 明朝" w:hint="eastAsia"/>
        <w:sz w:val="24"/>
      </w:rPr>
      <w:t>平成２２年度包括外部監査結果に基づき講じた措置状況</w:t>
    </w:r>
  </w:p>
  <w:p w14:paraId="730BA499" w14:textId="77777777" w:rsidR="009845D9" w:rsidRPr="009845D9" w:rsidRDefault="009845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5F55"/>
    <w:rsid w:val="000077A4"/>
    <w:rsid w:val="00007C05"/>
    <w:rsid w:val="000135E4"/>
    <w:rsid w:val="00014F48"/>
    <w:rsid w:val="00015BAF"/>
    <w:rsid w:val="00017EC7"/>
    <w:rsid w:val="000200FB"/>
    <w:rsid w:val="0002611D"/>
    <w:rsid w:val="000262BF"/>
    <w:rsid w:val="00026727"/>
    <w:rsid w:val="000267FE"/>
    <w:rsid w:val="0003023F"/>
    <w:rsid w:val="00031D0D"/>
    <w:rsid w:val="00032798"/>
    <w:rsid w:val="00033D69"/>
    <w:rsid w:val="000342AF"/>
    <w:rsid w:val="0003799D"/>
    <w:rsid w:val="0004406A"/>
    <w:rsid w:val="00045D63"/>
    <w:rsid w:val="000479F6"/>
    <w:rsid w:val="00047C59"/>
    <w:rsid w:val="00047E63"/>
    <w:rsid w:val="000529AB"/>
    <w:rsid w:val="00053FF1"/>
    <w:rsid w:val="0005725E"/>
    <w:rsid w:val="00060DD6"/>
    <w:rsid w:val="0006288F"/>
    <w:rsid w:val="00064891"/>
    <w:rsid w:val="0007072D"/>
    <w:rsid w:val="000713B1"/>
    <w:rsid w:val="00075BE3"/>
    <w:rsid w:val="00077884"/>
    <w:rsid w:val="000803ED"/>
    <w:rsid w:val="0008067E"/>
    <w:rsid w:val="000818BC"/>
    <w:rsid w:val="00081AB9"/>
    <w:rsid w:val="00083AD7"/>
    <w:rsid w:val="00083FD3"/>
    <w:rsid w:val="0008533A"/>
    <w:rsid w:val="00086900"/>
    <w:rsid w:val="000873C4"/>
    <w:rsid w:val="00090F86"/>
    <w:rsid w:val="00091F62"/>
    <w:rsid w:val="0009581D"/>
    <w:rsid w:val="0009678F"/>
    <w:rsid w:val="00097264"/>
    <w:rsid w:val="000A07E7"/>
    <w:rsid w:val="000A1E42"/>
    <w:rsid w:val="000A4A5E"/>
    <w:rsid w:val="000A59BA"/>
    <w:rsid w:val="000A5B31"/>
    <w:rsid w:val="000A6E79"/>
    <w:rsid w:val="000B0122"/>
    <w:rsid w:val="000B0F83"/>
    <w:rsid w:val="000C7506"/>
    <w:rsid w:val="000C7E4A"/>
    <w:rsid w:val="000D534E"/>
    <w:rsid w:val="000D6337"/>
    <w:rsid w:val="000E10F4"/>
    <w:rsid w:val="000E7B44"/>
    <w:rsid w:val="000F4332"/>
    <w:rsid w:val="000F581F"/>
    <w:rsid w:val="000F6936"/>
    <w:rsid w:val="001012DD"/>
    <w:rsid w:val="001018F6"/>
    <w:rsid w:val="001136D6"/>
    <w:rsid w:val="00115684"/>
    <w:rsid w:val="0011673E"/>
    <w:rsid w:val="00117391"/>
    <w:rsid w:val="00120A25"/>
    <w:rsid w:val="001251BE"/>
    <w:rsid w:val="00127E79"/>
    <w:rsid w:val="0013290F"/>
    <w:rsid w:val="001362E1"/>
    <w:rsid w:val="0013715A"/>
    <w:rsid w:val="0014069A"/>
    <w:rsid w:val="001452DF"/>
    <w:rsid w:val="0014613E"/>
    <w:rsid w:val="00146298"/>
    <w:rsid w:val="0014730A"/>
    <w:rsid w:val="00152974"/>
    <w:rsid w:val="0015306D"/>
    <w:rsid w:val="00153D59"/>
    <w:rsid w:val="00155762"/>
    <w:rsid w:val="00155AE4"/>
    <w:rsid w:val="00155C26"/>
    <w:rsid w:val="00162B00"/>
    <w:rsid w:val="0016632A"/>
    <w:rsid w:val="0017309F"/>
    <w:rsid w:val="001767C0"/>
    <w:rsid w:val="001767EE"/>
    <w:rsid w:val="0018091D"/>
    <w:rsid w:val="0018244A"/>
    <w:rsid w:val="0018358E"/>
    <w:rsid w:val="0019027D"/>
    <w:rsid w:val="001944D4"/>
    <w:rsid w:val="001A35FB"/>
    <w:rsid w:val="001A3AD7"/>
    <w:rsid w:val="001A56C1"/>
    <w:rsid w:val="001A63CE"/>
    <w:rsid w:val="001B0A09"/>
    <w:rsid w:val="001B100C"/>
    <w:rsid w:val="001B4320"/>
    <w:rsid w:val="001B7048"/>
    <w:rsid w:val="001B7664"/>
    <w:rsid w:val="001C0060"/>
    <w:rsid w:val="001C089A"/>
    <w:rsid w:val="001C2941"/>
    <w:rsid w:val="001D479F"/>
    <w:rsid w:val="001E0F2C"/>
    <w:rsid w:val="001E1F15"/>
    <w:rsid w:val="001E3B32"/>
    <w:rsid w:val="001E4A2A"/>
    <w:rsid w:val="001E5339"/>
    <w:rsid w:val="001E7153"/>
    <w:rsid w:val="001E7C2A"/>
    <w:rsid w:val="001F1004"/>
    <w:rsid w:val="001F1C09"/>
    <w:rsid w:val="001F201D"/>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552E"/>
    <w:rsid w:val="00245B37"/>
    <w:rsid w:val="0025178A"/>
    <w:rsid w:val="00252C26"/>
    <w:rsid w:val="0025586F"/>
    <w:rsid w:val="002571FE"/>
    <w:rsid w:val="00260B09"/>
    <w:rsid w:val="002650CF"/>
    <w:rsid w:val="002704C7"/>
    <w:rsid w:val="00271DE3"/>
    <w:rsid w:val="002735CE"/>
    <w:rsid w:val="00273931"/>
    <w:rsid w:val="00274B7F"/>
    <w:rsid w:val="00274F88"/>
    <w:rsid w:val="0028009C"/>
    <w:rsid w:val="002848E0"/>
    <w:rsid w:val="002918D0"/>
    <w:rsid w:val="00293536"/>
    <w:rsid w:val="00295721"/>
    <w:rsid w:val="002A1C3E"/>
    <w:rsid w:val="002A4CA9"/>
    <w:rsid w:val="002B240D"/>
    <w:rsid w:val="002C2510"/>
    <w:rsid w:val="002C4FAD"/>
    <w:rsid w:val="002C5597"/>
    <w:rsid w:val="002D0547"/>
    <w:rsid w:val="002D0D64"/>
    <w:rsid w:val="002D1AA5"/>
    <w:rsid w:val="002D1DBC"/>
    <w:rsid w:val="002D3A6C"/>
    <w:rsid w:val="002D3B8B"/>
    <w:rsid w:val="002E0436"/>
    <w:rsid w:val="002E239F"/>
    <w:rsid w:val="002E3F47"/>
    <w:rsid w:val="002E6B8D"/>
    <w:rsid w:val="002E6C75"/>
    <w:rsid w:val="002F54DE"/>
    <w:rsid w:val="002F5A33"/>
    <w:rsid w:val="002F76C5"/>
    <w:rsid w:val="00304361"/>
    <w:rsid w:val="00310CDD"/>
    <w:rsid w:val="00312214"/>
    <w:rsid w:val="003127F2"/>
    <w:rsid w:val="00315007"/>
    <w:rsid w:val="00315D0C"/>
    <w:rsid w:val="00316B70"/>
    <w:rsid w:val="003172E6"/>
    <w:rsid w:val="00321664"/>
    <w:rsid w:val="003217FE"/>
    <w:rsid w:val="00324346"/>
    <w:rsid w:val="0032578C"/>
    <w:rsid w:val="0032722E"/>
    <w:rsid w:val="003272D3"/>
    <w:rsid w:val="00327C58"/>
    <w:rsid w:val="00335616"/>
    <w:rsid w:val="003368D1"/>
    <w:rsid w:val="00337563"/>
    <w:rsid w:val="00343879"/>
    <w:rsid w:val="003523EC"/>
    <w:rsid w:val="00356D59"/>
    <w:rsid w:val="00361926"/>
    <w:rsid w:val="00361988"/>
    <w:rsid w:val="00364C90"/>
    <w:rsid w:val="003738C8"/>
    <w:rsid w:val="0037768D"/>
    <w:rsid w:val="00377A01"/>
    <w:rsid w:val="003825BD"/>
    <w:rsid w:val="0038484F"/>
    <w:rsid w:val="0038682B"/>
    <w:rsid w:val="00387B94"/>
    <w:rsid w:val="003912C8"/>
    <w:rsid w:val="0039293B"/>
    <w:rsid w:val="00394E4F"/>
    <w:rsid w:val="003967B3"/>
    <w:rsid w:val="00397F64"/>
    <w:rsid w:val="003A5C1F"/>
    <w:rsid w:val="003B0FCA"/>
    <w:rsid w:val="003B5D09"/>
    <w:rsid w:val="003B798A"/>
    <w:rsid w:val="003C3A3D"/>
    <w:rsid w:val="003C3F05"/>
    <w:rsid w:val="003C4EFA"/>
    <w:rsid w:val="003D41D1"/>
    <w:rsid w:val="003D7E2B"/>
    <w:rsid w:val="003E649A"/>
    <w:rsid w:val="003F1EC5"/>
    <w:rsid w:val="003F40CE"/>
    <w:rsid w:val="003F4A97"/>
    <w:rsid w:val="003F5B43"/>
    <w:rsid w:val="003F5E1F"/>
    <w:rsid w:val="003F6C51"/>
    <w:rsid w:val="00400982"/>
    <w:rsid w:val="00401F31"/>
    <w:rsid w:val="00402268"/>
    <w:rsid w:val="0040398F"/>
    <w:rsid w:val="00407ECD"/>
    <w:rsid w:val="00410592"/>
    <w:rsid w:val="00411A5F"/>
    <w:rsid w:val="00413627"/>
    <w:rsid w:val="00421B3F"/>
    <w:rsid w:val="004224FC"/>
    <w:rsid w:val="00426E2E"/>
    <w:rsid w:val="004315B8"/>
    <w:rsid w:val="00433BCB"/>
    <w:rsid w:val="0043535D"/>
    <w:rsid w:val="00441CAE"/>
    <w:rsid w:val="00442E86"/>
    <w:rsid w:val="00444FD3"/>
    <w:rsid w:val="004457D0"/>
    <w:rsid w:val="00450465"/>
    <w:rsid w:val="00451D85"/>
    <w:rsid w:val="00453A6E"/>
    <w:rsid w:val="00455549"/>
    <w:rsid w:val="00455D7F"/>
    <w:rsid w:val="00462A91"/>
    <w:rsid w:val="00463E8B"/>
    <w:rsid w:val="004651FD"/>
    <w:rsid w:val="00465C62"/>
    <w:rsid w:val="00466E49"/>
    <w:rsid w:val="00470AC6"/>
    <w:rsid w:val="004774BE"/>
    <w:rsid w:val="00483BDE"/>
    <w:rsid w:val="004841B8"/>
    <w:rsid w:val="004842D3"/>
    <w:rsid w:val="0048651A"/>
    <w:rsid w:val="00487079"/>
    <w:rsid w:val="004917A3"/>
    <w:rsid w:val="00497C18"/>
    <w:rsid w:val="004A3101"/>
    <w:rsid w:val="004A7191"/>
    <w:rsid w:val="004B4B06"/>
    <w:rsid w:val="004C1754"/>
    <w:rsid w:val="004C1761"/>
    <w:rsid w:val="004C3FB3"/>
    <w:rsid w:val="004D01A9"/>
    <w:rsid w:val="004D2EEE"/>
    <w:rsid w:val="004D6496"/>
    <w:rsid w:val="004E18E9"/>
    <w:rsid w:val="004E2263"/>
    <w:rsid w:val="004E4907"/>
    <w:rsid w:val="004E4F56"/>
    <w:rsid w:val="004F69D6"/>
    <w:rsid w:val="004F6FA5"/>
    <w:rsid w:val="005004DF"/>
    <w:rsid w:val="005029E6"/>
    <w:rsid w:val="005038A9"/>
    <w:rsid w:val="005061DC"/>
    <w:rsid w:val="0051081B"/>
    <w:rsid w:val="00510F9C"/>
    <w:rsid w:val="0051123F"/>
    <w:rsid w:val="00511439"/>
    <w:rsid w:val="00511B0B"/>
    <w:rsid w:val="005155BB"/>
    <w:rsid w:val="005254D5"/>
    <w:rsid w:val="00536C0A"/>
    <w:rsid w:val="00537E29"/>
    <w:rsid w:val="005411B7"/>
    <w:rsid w:val="00543E8B"/>
    <w:rsid w:val="00544AAA"/>
    <w:rsid w:val="0055334E"/>
    <w:rsid w:val="00553F78"/>
    <w:rsid w:val="00557EA6"/>
    <w:rsid w:val="00557F5D"/>
    <w:rsid w:val="00562D1A"/>
    <w:rsid w:val="005633F2"/>
    <w:rsid w:val="0056375E"/>
    <w:rsid w:val="0056518C"/>
    <w:rsid w:val="00566FD2"/>
    <w:rsid w:val="00573B70"/>
    <w:rsid w:val="005742D2"/>
    <w:rsid w:val="00576B6B"/>
    <w:rsid w:val="00581AAD"/>
    <w:rsid w:val="00581B99"/>
    <w:rsid w:val="00586E00"/>
    <w:rsid w:val="0059136A"/>
    <w:rsid w:val="005941B9"/>
    <w:rsid w:val="00597245"/>
    <w:rsid w:val="005A0B65"/>
    <w:rsid w:val="005A3854"/>
    <w:rsid w:val="005A6711"/>
    <w:rsid w:val="005B2751"/>
    <w:rsid w:val="005B679A"/>
    <w:rsid w:val="005C26C1"/>
    <w:rsid w:val="005C40A8"/>
    <w:rsid w:val="005C5727"/>
    <w:rsid w:val="005C5956"/>
    <w:rsid w:val="005D4A3E"/>
    <w:rsid w:val="005D65C9"/>
    <w:rsid w:val="005E1267"/>
    <w:rsid w:val="005F20A8"/>
    <w:rsid w:val="005F5189"/>
    <w:rsid w:val="006032A6"/>
    <w:rsid w:val="006048B7"/>
    <w:rsid w:val="00616E29"/>
    <w:rsid w:val="00617F0E"/>
    <w:rsid w:val="00621A70"/>
    <w:rsid w:val="00623464"/>
    <w:rsid w:val="006237E4"/>
    <w:rsid w:val="00625E0E"/>
    <w:rsid w:val="006261CC"/>
    <w:rsid w:val="0063131B"/>
    <w:rsid w:val="00633832"/>
    <w:rsid w:val="00634D06"/>
    <w:rsid w:val="00634F8F"/>
    <w:rsid w:val="00635102"/>
    <w:rsid w:val="00636DCA"/>
    <w:rsid w:val="006426AC"/>
    <w:rsid w:val="00644525"/>
    <w:rsid w:val="00651344"/>
    <w:rsid w:val="006521F9"/>
    <w:rsid w:val="00652374"/>
    <w:rsid w:val="00660F3F"/>
    <w:rsid w:val="00663816"/>
    <w:rsid w:val="00666F38"/>
    <w:rsid w:val="0067020C"/>
    <w:rsid w:val="00677C0B"/>
    <w:rsid w:val="0069349E"/>
    <w:rsid w:val="0069622B"/>
    <w:rsid w:val="006A028F"/>
    <w:rsid w:val="006A2424"/>
    <w:rsid w:val="006A31B3"/>
    <w:rsid w:val="006B215B"/>
    <w:rsid w:val="006B5360"/>
    <w:rsid w:val="006B6EEF"/>
    <w:rsid w:val="006B7AB5"/>
    <w:rsid w:val="006C07DB"/>
    <w:rsid w:val="006C0A43"/>
    <w:rsid w:val="006C1AE0"/>
    <w:rsid w:val="006C2550"/>
    <w:rsid w:val="006C2794"/>
    <w:rsid w:val="006C3CF7"/>
    <w:rsid w:val="006C5761"/>
    <w:rsid w:val="006C7CCE"/>
    <w:rsid w:val="006D0B4E"/>
    <w:rsid w:val="006D55AA"/>
    <w:rsid w:val="006D7F74"/>
    <w:rsid w:val="006E6851"/>
    <w:rsid w:val="006E7F23"/>
    <w:rsid w:val="006F01EF"/>
    <w:rsid w:val="006F081E"/>
    <w:rsid w:val="006F2488"/>
    <w:rsid w:val="006F5B25"/>
    <w:rsid w:val="00700377"/>
    <w:rsid w:val="0070727B"/>
    <w:rsid w:val="00721FDC"/>
    <w:rsid w:val="00727099"/>
    <w:rsid w:val="00730BA9"/>
    <w:rsid w:val="00733A04"/>
    <w:rsid w:val="00735126"/>
    <w:rsid w:val="00740248"/>
    <w:rsid w:val="00740B24"/>
    <w:rsid w:val="00744751"/>
    <w:rsid w:val="00744CF1"/>
    <w:rsid w:val="007545C0"/>
    <w:rsid w:val="00760E88"/>
    <w:rsid w:val="0076326F"/>
    <w:rsid w:val="007634FE"/>
    <w:rsid w:val="00770862"/>
    <w:rsid w:val="0077141B"/>
    <w:rsid w:val="00773F64"/>
    <w:rsid w:val="00773F6E"/>
    <w:rsid w:val="007744AC"/>
    <w:rsid w:val="0078403F"/>
    <w:rsid w:val="00785C41"/>
    <w:rsid w:val="00785F06"/>
    <w:rsid w:val="0078619C"/>
    <w:rsid w:val="0078692B"/>
    <w:rsid w:val="00791550"/>
    <w:rsid w:val="007920F6"/>
    <w:rsid w:val="0079697F"/>
    <w:rsid w:val="00797A22"/>
    <w:rsid w:val="007A37C3"/>
    <w:rsid w:val="007A3A87"/>
    <w:rsid w:val="007A4BBB"/>
    <w:rsid w:val="007A74C4"/>
    <w:rsid w:val="007A7997"/>
    <w:rsid w:val="007A7E89"/>
    <w:rsid w:val="007B3AF6"/>
    <w:rsid w:val="007B6965"/>
    <w:rsid w:val="007B747A"/>
    <w:rsid w:val="007C6633"/>
    <w:rsid w:val="007C7DDB"/>
    <w:rsid w:val="007D021B"/>
    <w:rsid w:val="007D4673"/>
    <w:rsid w:val="007D5935"/>
    <w:rsid w:val="007E0C05"/>
    <w:rsid w:val="007E0D05"/>
    <w:rsid w:val="007E567F"/>
    <w:rsid w:val="007E63A1"/>
    <w:rsid w:val="007F05E2"/>
    <w:rsid w:val="007F1991"/>
    <w:rsid w:val="007F30CB"/>
    <w:rsid w:val="007F3B9F"/>
    <w:rsid w:val="007F5556"/>
    <w:rsid w:val="008007DA"/>
    <w:rsid w:val="008034A0"/>
    <w:rsid w:val="0080498A"/>
    <w:rsid w:val="008107CD"/>
    <w:rsid w:val="00817FB7"/>
    <w:rsid w:val="00821C13"/>
    <w:rsid w:val="00831187"/>
    <w:rsid w:val="00833530"/>
    <w:rsid w:val="00835145"/>
    <w:rsid w:val="008403B6"/>
    <w:rsid w:val="00843E27"/>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1997"/>
    <w:rsid w:val="00891FFB"/>
    <w:rsid w:val="00892939"/>
    <w:rsid w:val="00892D09"/>
    <w:rsid w:val="00895CC5"/>
    <w:rsid w:val="00897EBD"/>
    <w:rsid w:val="008A7690"/>
    <w:rsid w:val="008B19CB"/>
    <w:rsid w:val="008B29E8"/>
    <w:rsid w:val="008B399E"/>
    <w:rsid w:val="008B78A8"/>
    <w:rsid w:val="008B7CDC"/>
    <w:rsid w:val="008C08FC"/>
    <w:rsid w:val="008C2A07"/>
    <w:rsid w:val="008C56BB"/>
    <w:rsid w:val="008D5D18"/>
    <w:rsid w:val="008D6F88"/>
    <w:rsid w:val="008D708E"/>
    <w:rsid w:val="008E47D8"/>
    <w:rsid w:val="008E7593"/>
    <w:rsid w:val="008F2D35"/>
    <w:rsid w:val="008F6A4B"/>
    <w:rsid w:val="008F7BEA"/>
    <w:rsid w:val="00901967"/>
    <w:rsid w:val="00904717"/>
    <w:rsid w:val="00904E44"/>
    <w:rsid w:val="00907ABD"/>
    <w:rsid w:val="00911754"/>
    <w:rsid w:val="0091582B"/>
    <w:rsid w:val="00916113"/>
    <w:rsid w:val="00917616"/>
    <w:rsid w:val="009177E5"/>
    <w:rsid w:val="0092033C"/>
    <w:rsid w:val="00920D34"/>
    <w:rsid w:val="00921A35"/>
    <w:rsid w:val="0092285F"/>
    <w:rsid w:val="0093399D"/>
    <w:rsid w:val="00940F4E"/>
    <w:rsid w:val="00940F52"/>
    <w:rsid w:val="009422CB"/>
    <w:rsid w:val="00946E1F"/>
    <w:rsid w:val="009500A6"/>
    <w:rsid w:val="009504F6"/>
    <w:rsid w:val="00951C81"/>
    <w:rsid w:val="00951F91"/>
    <w:rsid w:val="00952426"/>
    <w:rsid w:val="00952E14"/>
    <w:rsid w:val="0095443D"/>
    <w:rsid w:val="00961884"/>
    <w:rsid w:val="00970A01"/>
    <w:rsid w:val="00971587"/>
    <w:rsid w:val="009742BE"/>
    <w:rsid w:val="00974F4A"/>
    <w:rsid w:val="0097755F"/>
    <w:rsid w:val="00981B97"/>
    <w:rsid w:val="009845D9"/>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E7EBF"/>
    <w:rsid w:val="009F2F47"/>
    <w:rsid w:val="009F36D1"/>
    <w:rsid w:val="009F5955"/>
    <w:rsid w:val="009F7CBE"/>
    <w:rsid w:val="00A033DB"/>
    <w:rsid w:val="00A050F1"/>
    <w:rsid w:val="00A06588"/>
    <w:rsid w:val="00A06AB8"/>
    <w:rsid w:val="00A06FD2"/>
    <w:rsid w:val="00A078F1"/>
    <w:rsid w:val="00A07D8F"/>
    <w:rsid w:val="00A12C3A"/>
    <w:rsid w:val="00A15F24"/>
    <w:rsid w:val="00A26174"/>
    <w:rsid w:val="00A26840"/>
    <w:rsid w:val="00A3368D"/>
    <w:rsid w:val="00A362EE"/>
    <w:rsid w:val="00A377CA"/>
    <w:rsid w:val="00A448A3"/>
    <w:rsid w:val="00A502D6"/>
    <w:rsid w:val="00A520E3"/>
    <w:rsid w:val="00A527CE"/>
    <w:rsid w:val="00A5628E"/>
    <w:rsid w:val="00A64643"/>
    <w:rsid w:val="00A6642E"/>
    <w:rsid w:val="00A76ACF"/>
    <w:rsid w:val="00A802C3"/>
    <w:rsid w:val="00A810AF"/>
    <w:rsid w:val="00A82E92"/>
    <w:rsid w:val="00A843A2"/>
    <w:rsid w:val="00A849D4"/>
    <w:rsid w:val="00AA5F2E"/>
    <w:rsid w:val="00AB3497"/>
    <w:rsid w:val="00AB713B"/>
    <w:rsid w:val="00AB73DE"/>
    <w:rsid w:val="00AB7FF8"/>
    <w:rsid w:val="00AC0B4D"/>
    <w:rsid w:val="00AC4504"/>
    <w:rsid w:val="00AC5EC5"/>
    <w:rsid w:val="00AD16EE"/>
    <w:rsid w:val="00AD1715"/>
    <w:rsid w:val="00AD2410"/>
    <w:rsid w:val="00AD388B"/>
    <w:rsid w:val="00AD5121"/>
    <w:rsid w:val="00AD5842"/>
    <w:rsid w:val="00AD5D18"/>
    <w:rsid w:val="00AE18D3"/>
    <w:rsid w:val="00AE3590"/>
    <w:rsid w:val="00AE5CA5"/>
    <w:rsid w:val="00AE7755"/>
    <w:rsid w:val="00AF2090"/>
    <w:rsid w:val="00B07C0B"/>
    <w:rsid w:val="00B10299"/>
    <w:rsid w:val="00B13AC5"/>
    <w:rsid w:val="00B13E81"/>
    <w:rsid w:val="00B15DCF"/>
    <w:rsid w:val="00B22DD0"/>
    <w:rsid w:val="00B26244"/>
    <w:rsid w:val="00B273F3"/>
    <w:rsid w:val="00B34D42"/>
    <w:rsid w:val="00B37C42"/>
    <w:rsid w:val="00B45090"/>
    <w:rsid w:val="00B50819"/>
    <w:rsid w:val="00B50A27"/>
    <w:rsid w:val="00B5241F"/>
    <w:rsid w:val="00B54239"/>
    <w:rsid w:val="00B56D5E"/>
    <w:rsid w:val="00B760DF"/>
    <w:rsid w:val="00B766D3"/>
    <w:rsid w:val="00B76D61"/>
    <w:rsid w:val="00B76EB1"/>
    <w:rsid w:val="00B80973"/>
    <w:rsid w:val="00B8643F"/>
    <w:rsid w:val="00B908B0"/>
    <w:rsid w:val="00B92DFD"/>
    <w:rsid w:val="00B92E12"/>
    <w:rsid w:val="00B958D7"/>
    <w:rsid w:val="00B962EB"/>
    <w:rsid w:val="00B967B7"/>
    <w:rsid w:val="00BA1B79"/>
    <w:rsid w:val="00BA31E8"/>
    <w:rsid w:val="00BA5194"/>
    <w:rsid w:val="00BB0FF2"/>
    <w:rsid w:val="00BB14E1"/>
    <w:rsid w:val="00BB2044"/>
    <w:rsid w:val="00BB431B"/>
    <w:rsid w:val="00BB61BD"/>
    <w:rsid w:val="00BB6512"/>
    <w:rsid w:val="00BB6EC5"/>
    <w:rsid w:val="00BB76CF"/>
    <w:rsid w:val="00BC0132"/>
    <w:rsid w:val="00BD1964"/>
    <w:rsid w:val="00BD295F"/>
    <w:rsid w:val="00BD718C"/>
    <w:rsid w:val="00BE486F"/>
    <w:rsid w:val="00BE6147"/>
    <w:rsid w:val="00BF10CB"/>
    <w:rsid w:val="00BF1C89"/>
    <w:rsid w:val="00BF7709"/>
    <w:rsid w:val="00C001FD"/>
    <w:rsid w:val="00C00D0C"/>
    <w:rsid w:val="00C02114"/>
    <w:rsid w:val="00C02DB6"/>
    <w:rsid w:val="00C071D7"/>
    <w:rsid w:val="00C11245"/>
    <w:rsid w:val="00C1223F"/>
    <w:rsid w:val="00C1517C"/>
    <w:rsid w:val="00C152FA"/>
    <w:rsid w:val="00C16D73"/>
    <w:rsid w:val="00C24FF0"/>
    <w:rsid w:val="00C263ED"/>
    <w:rsid w:val="00C315EA"/>
    <w:rsid w:val="00C359B9"/>
    <w:rsid w:val="00C401D1"/>
    <w:rsid w:val="00C404B3"/>
    <w:rsid w:val="00C415C6"/>
    <w:rsid w:val="00C4583E"/>
    <w:rsid w:val="00C50CC3"/>
    <w:rsid w:val="00C50F54"/>
    <w:rsid w:val="00C55A85"/>
    <w:rsid w:val="00C56025"/>
    <w:rsid w:val="00C63465"/>
    <w:rsid w:val="00C65ADE"/>
    <w:rsid w:val="00C73720"/>
    <w:rsid w:val="00C73F53"/>
    <w:rsid w:val="00C81A54"/>
    <w:rsid w:val="00C81DA5"/>
    <w:rsid w:val="00C82A10"/>
    <w:rsid w:val="00C8529A"/>
    <w:rsid w:val="00C86835"/>
    <w:rsid w:val="00C967CB"/>
    <w:rsid w:val="00CA3979"/>
    <w:rsid w:val="00CA5DAC"/>
    <w:rsid w:val="00CB37AA"/>
    <w:rsid w:val="00CB4733"/>
    <w:rsid w:val="00CC5431"/>
    <w:rsid w:val="00CC59C0"/>
    <w:rsid w:val="00CC5DA0"/>
    <w:rsid w:val="00CC687B"/>
    <w:rsid w:val="00CD1975"/>
    <w:rsid w:val="00CD1AF2"/>
    <w:rsid w:val="00CD38FA"/>
    <w:rsid w:val="00CD45A9"/>
    <w:rsid w:val="00CE0FFA"/>
    <w:rsid w:val="00CE1F17"/>
    <w:rsid w:val="00CE4CF4"/>
    <w:rsid w:val="00D004D5"/>
    <w:rsid w:val="00D028BE"/>
    <w:rsid w:val="00D07E77"/>
    <w:rsid w:val="00D1394A"/>
    <w:rsid w:val="00D13EEB"/>
    <w:rsid w:val="00D13F50"/>
    <w:rsid w:val="00D20E32"/>
    <w:rsid w:val="00D317C5"/>
    <w:rsid w:val="00D31E06"/>
    <w:rsid w:val="00D344F0"/>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5C60"/>
    <w:rsid w:val="00D665CC"/>
    <w:rsid w:val="00D71908"/>
    <w:rsid w:val="00D7677A"/>
    <w:rsid w:val="00D76A9C"/>
    <w:rsid w:val="00D80FB3"/>
    <w:rsid w:val="00D813F4"/>
    <w:rsid w:val="00D84AAA"/>
    <w:rsid w:val="00D8672C"/>
    <w:rsid w:val="00D87870"/>
    <w:rsid w:val="00D91403"/>
    <w:rsid w:val="00D91987"/>
    <w:rsid w:val="00D94343"/>
    <w:rsid w:val="00D96EB4"/>
    <w:rsid w:val="00DA04B1"/>
    <w:rsid w:val="00DA18DD"/>
    <w:rsid w:val="00DA203D"/>
    <w:rsid w:val="00DA2E31"/>
    <w:rsid w:val="00DA4EB2"/>
    <w:rsid w:val="00DA597D"/>
    <w:rsid w:val="00DA5E29"/>
    <w:rsid w:val="00DA70F4"/>
    <w:rsid w:val="00DA7EA4"/>
    <w:rsid w:val="00DB5BA9"/>
    <w:rsid w:val="00DB62E6"/>
    <w:rsid w:val="00DB7093"/>
    <w:rsid w:val="00DB7213"/>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33D4"/>
    <w:rsid w:val="00DF66C9"/>
    <w:rsid w:val="00E01AB1"/>
    <w:rsid w:val="00E01AB4"/>
    <w:rsid w:val="00E01B20"/>
    <w:rsid w:val="00E03D7C"/>
    <w:rsid w:val="00E04E40"/>
    <w:rsid w:val="00E04F03"/>
    <w:rsid w:val="00E1082B"/>
    <w:rsid w:val="00E1099F"/>
    <w:rsid w:val="00E11815"/>
    <w:rsid w:val="00E25D8F"/>
    <w:rsid w:val="00E25DB0"/>
    <w:rsid w:val="00E35580"/>
    <w:rsid w:val="00E40B7B"/>
    <w:rsid w:val="00E41BB1"/>
    <w:rsid w:val="00E4292E"/>
    <w:rsid w:val="00E4355F"/>
    <w:rsid w:val="00E5011C"/>
    <w:rsid w:val="00E52114"/>
    <w:rsid w:val="00E612DE"/>
    <w:rsid w:val="00E61766"/>
    <w:rsid w:val="00E65112"/>
    <w:rsid w:val="00E65922"/>
    <w:rsid w:val="00E66F58"/>
    <w:rsid w:val="00E745B5"/>
    <w:rsid w:val="00E771A9"/>
    <w:rsid w:val="00E8029C"/>
    <w:rsid w:val="00E80EA6"/>
    <w:rsid w:val="00E860D6"/>
    <w:rsid w:val="00E875C5"/>
    <w:rsid w:val="00E90056"/>
    <w:rsid w:val="00E90759"/>
    <w:rsid w:val="00E93A62"/>
    <w:rsid w:val="00E93C22"/>
    <w:rsid w:val="00E96231"/>
    <w:rsid w:val="00EA3F19"/>
    <w:rsid w:val="00EA56C6"/>
    <w:rsid w:val="00EA76E4"/>
    <w:rsid w:val="00EB58F2"/>
    <w:rsid w:val="00EB770C"/>
    <w:rsid w:val="00EC05DE"/>
    <w:rsid w:val="00EC157D"/>
    <w:rsid w:val="00EC36A2"/>
    <w:rsid w:val="00EC397C"/>
    <w:rsid w:val="00EC7026"/>
    <w:rsid w:val="00ED658E"/>
    <w:rsid w:val="00EE1967"/>
    <w:rsid w:val="00EE289A"/>
    <w:rsid w:val="00EE2BEE"/>
    <w:rsid w:val="00EE36CC"/>
    <w:rsid w:val="00EE3BB9"/>
    <w:rsid w:val="00EE5D5B"/>
    <w:rsid w:val="00EE7719"/>
    <w:rsid w:val="00EF1489"/>
    <w:rsid w:val="00EF7A48"/>
    <w:rsid w:val="00EF7C44"/>
    <w:rsid w:val="00F00AB9"/>
    <w:rsid w:val="00F019C6"/>
    <w:rsid w:val="00F0608B"/>
    <w:rsid w:val="00F06686"/>
    <w:rsid w:val="00F0751E"/>
    <w:rsid w:val="00F11363"/>
    <w:rsid w:val="00F113A7"/>
    <w:rsid w:val="00F13E18"/>
    <w:rsid w:val="00F15AD8"/>
    <w:rsid w:val="00F272B6"/>
    <w:rsid w:val="00F312A8"/>
    <w:rsid w:val="00F31E15"/>
    <w:rsid w:val="00F359DF"/>
    <w:rsid w:val="00F36232"/>
    <w:rsid w:val="00F3791F"/>
    <w:rsid w:val="00F37FC3"/>
    <w:rsid w:val="00F418FA"/>
    <w:rsid w:val="00F42E04"/>
    <w:rsid w:val="00F45149"/>
    <w:rsid w:val="00F46121"/>
    <w:rsid w:val="00F53312"/>
    <w:rsid w:val="00F562BA"/>
    <w:rsid w:val="00F56E37"/>
    <w:rsid w:val="00F62A13"/>
    <w:rsid w:val="00F724A3"/>
    <w:rsid w:val="00F7357D"/>
    <w:rsid w:val="00F74DA3"/>
    <w:rsid w:val="00F77A14"/>
    <w:rsid w:val="00F83AA9"/>
    <w:rsid w:val="00F83B8F"/>
    <w:rsid w:val="00F85E50"/>
    <w:rsid w:val="00F876E8"/>
    <w:rsid w:val="00F92EBA"/>
    <w:rsid w:val="00F94852"/>
    <w:rsid w:val="00F95466"/>
    <w:rsid w:val="00F968B9"/>
    <w:rsid w:val="00F96D67"/>
    <w:rsid w:val="00F97E6D"/>
    <w:rsid w:val="00FA247C"/>
    <w:rsid w:val="00FA46E6"/>
    <w:rsid w:val="00FB0E29"/>
    <w:rsid w:val="00FB582A"/>
    <w:rsid w:val="00FC35DE"/>
    <w:rsid w:val="00FC7817"/>
    <w:rsid w:val="00FD115B"/>
    <w:rsid w:val="00FE35AD"/>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796F-9908-4476-84AB-194C417B4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26B0303C-BF22-45F8-8D71-F51CEEC2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3839</Words>
  <Characters>222</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54</cp:revision>
  <cp:lastPrinted>2015-03-18T06:37:00Z</cp:lastPrinted>
  <dcterms:created xsi:type="dcterms:W3CDTF">2012-07-10T02:17:00Z</dcterms:created>
  <dcterms:modified xsi:type="dcterms:W3CDTF">2015-03-24T01:54:00Z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