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0B" w:rsidRPr="008E090B" w:rsidRDefault="00EB0CFD" w:rsidP="008D4075">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病気休暇の承認手続の不備</w:t>
      </w:r>
    </w:p>
    <w:tbl>
      <w:tblPr>
        <w:tblpPr w:leftFromText="142" w:rightFromText="142" w:vertAnchor="text" w:horzAnchor="margin" w:tblpX="-39" w:tblpY="31"/>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465"/>
        <w:gridCol w:w="7071"/>
        <w:gridCol w:w="2638"/>
      </w:tblGrid>
      <w:tr w:rsidR="00066B8F" w:rsidRPr="008E090B" w:rsidTr="00046BD9">
        <w:trPr>
          <w:trHeight w:val="558"/>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B8F" w:rsidRPr="008E090B" w:rsidRDefault="00066B8F" w:rsidP="00046BD9">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8E090B">
              <w:rPr>
                <w:rFonts w:ascii="ＭＳ Ｐゴシック" w:eastAsia="ＭＳ Ｐゴシック" w:hAnsi="ＭＳ Ｐゴシック" w:cs="Arial" w:hint="eastAsia"/>
                <w:kern w:val="0"/>
                <w:sz w:val="24"/>
              </w:rPr>
              <w:t>対象受検機関</w:t>
            </w:r>
          </w:p>
        </w:tc>
        <w:tc>
          <w:tcPr>
            <w:tcW w:w="8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B8F" w:rsidRPr="008E090B" w:rsidRDefault="00066B8F" w:rsidP="00046BD9">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8E090B">
              <w:rPr>
                <w:rFonts w:ascii="ＭＳ Ｐゴシック" w:eastAsia="ＭＳ Ｐゴシック" w:hAnsi="ＭＳ Ｐゴシック" w:cs="Arial" w:hint="eastAsia"/>
                <w:kern w:val="0"/>
                <w:sz w:val="24"/>
              </w:rPr>
              <w:t>検出事項</w:t>
            </w:r>
          </w:p>
        </w:tc>
        <w:tc>
          <w:tcPr>
            <w:tcW w:w="7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B8F" w:rsidRPr="008E090B" w:rsidRDefault="00066B8F" w:rsidP="00046BD9">
            <w:pPr>
              <w:widowControl/>
              <w:autoSpaceDE w:val="0"/>
              <w:autoSpaceDN w:val="0"/>
              <w:spacing w:line="300" w:lineRule="exact"/>
              <w:jc w:val="center"/>
              <w:rPr>
                <w:rFonts w:ascii="ＭＳ Ｐゴシック" w:eastAsia="ＭＳ Ｐゴシック" w:hAnsi="ＭＳ Ｐゴシック" w:cs="Arial"/>
                <w:kern w:val="0"/>
                <w:sz w:val="24"/>
                <w:shd w:val="pct15" w:color="auto" w:fill="FFFFFF"/>
              </w:rPr>
            </w:pPr>
            <w:r w:rsidRPr="008E090B">
              <w:rPr>
                <w:rFonts w:ascii="ＭＳ Ｐゴシック" w:eastAsia="ＭＳ Ｐゴシック" w:hAnsi="ＭＳ Ｐゴシック" w:cs="Arial" w:hint="eastAsia"/>
                <w:kern w:val="0"/>
                <w:sz w:val="24"/>
              </w:rPr>
              <w:t>是正を求める事項</w:t>
            </w:r>
          </w:p>
        </w:tc>
        <w:tc>
          <w:tcPr>
            <w:tcW w:w="2638" w:type="dxa"/>
            <w:tcBorders>
              <w:top w:val="single" w:sz="4" w:space="0" w:color="auto"/>
              <w:left w:val="single" w:sz="4" w:space="0" w:color="auto"/>
              <w:bottom w:val="single" w:sz="4" w:space="0" w:color="auto"/>
              <w:right w:val="single" w:sz="4" w:space="0" w:color="auto"/>
            </w:tcBorders>
            <w:vAlign w:val="center"/>
          </w:tcPr>
          <w:p w:rsidR="00066B8F" w:rsidRPr="008E090B" w:rsidRDefault="00066B8F" w:rsidP="00046BD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w:t>
            </w:r>
            <w:r w:rsidR="009B3791">
              <w:rPr>
                <w:rFonts w:ascii="ＭＳ Ｐゴシック" w:eastAsia="ＭＳ Ｐゴシック" w:hAnsi="ＭＳ Ｐゴシック" w:cs="Arial" w:hint="eastAsia"/>
                <w:kern w:val="0"/>
                <w:sz w:val="24"/>
              </w:rPr>
              <w:t>の内容</w:t>
            </w:r>
          </w:p>
        </w:tc>
      </w:tr>
      <w:tr w:rsidR="00066B8F" w:rsidRPr="008E090B" w:rsidTr="0056087C">
        <w:trPr>
          <w:trHeight w:val="6901"/>
        </w:trPr>
        <w:tc>
          <w:tcPr>
            <w:tcW w:w="2380" w:type="dxa"/>
            <w:tcBorders>
              <w:top w:val="single" w:sz="4" w:space="0" w:color="auto"/>
              <w:left w:val="single" w:sz="4" w:space="0" w:color="auto"/>
              <w:right w:val="single" w:sz="4" w:space="0" w:color="auto"/>
            </w:tcBorders>
            <w:shd w:val="clear" w:color="auto" w:fill="auto"/>
          </w:tcPr>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r w:rsidRPr="008E090B">
              <w:rPr>
                <w:rFonts w:ascii="ＭＳ 明朝" w:hAnsi="ＭＳ 明朝" w:hint="eastAsia"/>
                <w:sz w:val="24"/>
              </w:rPr>
              <w:t>東大阪支援学校</w:t>
            </w:r>
          </w:p>
          <w:p w:rsidR="00066B8F" w:rsidRPr="008E090B" w:rsidRDefault="00066B8F" w:rsidP="0056087C">
            <w:pPr>
              <w:autoSpaceDE w:val="0"/>
              <w:autoSpaceDN w:val="0"/>
              <w:snapToGrid w:val="0"/>
              <w:spacing w:line="300" w:lineRule="exact"/>
              <w:rPr>
                <w:rFonts w:ascii="ＭＳ 明朝" w:hAnsi="ＭＳ 明朝"/>
                <w:sz w:val="24"/>
              </w:rPr>
            </w:pPr>
          </w:p>
          <w:p w:rsidR="00066B8F" w:rsidRPr="008E090B" w:rsidRDefault="00066B8F" w:rsidP="0056087C">
            <w:pPr>
              <w:autoSpaceDE w:val="0"/>
              <w:autoSpaceDN w:val="0"/>
              <w:snapToGrid w:val="0"/>
              <w:spacing w:line="300" w:lineRule="exact"/>
              <w:rPr>
                <w:rFonts w:ascii="ＭＳ 明朝" w:hAnsi="ＭＳ 明朝"/>
                <w:sz w:val="24"/>
              </w:rPr>
            </w:pPr>
          </w:p>
        </w:tc>
        <w:tc>
          <w:tcPr>
            <w:tcW w:w="8465" w:type="dxa"/>
            <w:tcBorders>
              <w:top w:val="single" w:sz="4" w:space="0" w:color="auto"/>
              <w:left w:val="single" w:sz="4" w:space="0" w:color="auto"/>
              <w:right w:val="single" w:sz="4" w:space="0" w:color="auto"/>
            </w:tcBorders>
            <w:shd w:val="clear" w:color="auto" w:fill="auto"/>
            <w:hideMark/>
          </w:tcPr>
          <w:p w:rsidR="00066B8F" w:rsidRPr="008E090B" w:rsidRDefault="00066B8F" w:rsidP="0056087C">
            <w:pPr>
              <w:autoSpaceDE w:val="0"/>
              <w:autoSpaceDN w:val="0"/>
              <w:spacing w:line="300" w:lineRule="exact"/>
              <w:rPr>
                <w:rFonts w:ascii="ＭＳ 明朝" w:hAnsi="ＭＳ 明朝" w:cs="Arial"/>
                <w:sz w:val="24"/>
                <w:szCs w:val="22"/>
              </w:rPr>
            </w:pPr>
          </w:p>
          <w:p w:rsidR="00066B8F" w:rsidRPr="008E090B" w:rsidRDefault="00066B8F" w:rsidP="0056087C">
            <w:pPr>
              <w:autoSpaceDE w:val="0"/>
              <w:autoSpaceDN w:val="0"/>
              <w:spacing w:line="300" w:lineRule="exact"/>
              <w:ind w:firstLineChars="100" w:firstLine="240"/>
              <w:rPr>
                <w:rFonts w:ascii="ＭＳ 明朝" w:hAnsi="ＭＳ 明朝" w:cs="Arial"/>
                <w:sz w:val="24"/>
                <w:szCs w:val="22"/>
              </w:rPr>
            </w:pPr>
            <w:r w:rsidRPr="008E090B">
              <w:rPr>
                <w:rFonts w:ascii="ＭＳ 明朝" w:hAnsi="ＭＳ 明朝" w:cs="Arial" w:hint="eastAsia"/>
                <w:sz w:val="24"/>
                <w:szCs w:val="22"/>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bookmarkStart w:id="0" w:name="_GoBack"/>
            <w:bookmarkEnd w:id="0"/>
          </w:p>
          <w:p w:rsidR="00066B8F" w:rsidRPr="008E090B" w:rsidRDefault="00066B8F" w:rsidP="0056087C">
            <w:pPr>
              <w:autoSpaceDE w:val="0"/>
              <w:autoSpaceDN w:val="0"/>
              <w:spacing w:line="300" w:lineRule="exact"/>
              <w:ind w:firstLineChars="100" w:firstLine="240"/>
              <w:rPr>
                <w:rFonts w:ascii="ＭＳ 明朝" w:hAnsi="ＭＳ 明朝" w:cs="Arial"/>
                <w:sz w:val="24"/>
              </w:rPr>
            </w:pPr>
          </w:p>
          <w:tbl>
            <w:tblPr>
              <w:tblpPr w:leftFromText="142" w:rightFromText="142" w:vertAnchor="text" w:horzAnchor="page" w:tblpX="973"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tblGrid>
            <w:tr w:rsidR="00066B8F" w:rsidRPr="008E090B" w:rsidTr="00162C5E">
              <w:tc>
                <w:tcPr>
                  <w:tcW w:w="5811" w:type="dxa"/>
                  <w:shd w:val="clear" w:color="auto" w:fill="auto"/>
                  <w:vAlign w:val="center"/>
                </w:tcPr>
                <w:p w:rsidR="00066B8F" w:rsidRPr="008E090B" w:rsidRDefault="00066B8F" w:rsidP="0056087C">
                  <w:pPr>
                    <w:autoSpaceDE w:val="0"/>
                    <w:autoSpaceDN w:val="0"/>
                    <w:snapToGrid w:val="0"/>
                    <w:spacing w:line="300" w:lineRule="exact"/>
                    <w:jc w:val="center"/>
                    <w:rPr>
                      <w:rFonts w:ascii="ＭＳ 明朝" w:hAnsi="ＭＳ 明朝" w:cs="Arial"/>
                      <w:sz w:val="24"/>
                    </w:rPr>
                  </w:pPr>
                  <w:r w:rsidRPr="008E090B">
                    <w:rPr>
                      <w:rFonts w:ascii="ＭＳ 明朝" w:hAnsi="ＭＳ 明朝" w:cs="Arial" w:hint="eastAsia"/>
                      <w:sz w:val="24"/>
                    </w:rPr>
                    <w:t>診断書における休業期間</w:t>
                  </w:r>
                </w:p>
              </w:tc>
            </w:tr>
            <w:tr w:rsidR="00066B8F" w:rsidRPr="008E090B" w:rsidTr="00162C5E">
              <w:trPr>
                <w:trHeight w:val="1204"/>
              </w:trPr>
              <w:tc>
                <w:tcPr>
                  <w:tcW w:w="5811" w:type="dxa"/>
                  <w:shd w:val="clear" w:color="auto" w:fill="auto"/>
                  <w:vAlign w:val="center"/>
                </w:tcPr>
                <w:p w:rsidR="00066B8F" w:rsidRPr="008E090B" w:rsidRDefault="00066B8F" w:rsidP="0056087C">
                  <w:pPr>
                    <w:autoSpaceDE w:val="0"/>
                    <w:autoSpaceDN w:val="0"/>
                    <w:snapToGrid w:val="0"/>
                    <w:spacing w:line="300" w:lineRule="exact"/>
                    <w:rPr>
                      <w:rFonts w:ascii="ＭＳ 明朝" w:hAnsi="ＭＳ 明朝" w:cs="Arial"/>
                      <w:sz w:val="24"/>
                    </w:rPr>
                  </w:pPr>
                  <w:r w:rsidRPr="008E090B">
                    <w:rPr>
                      <w:rFonts w:ascii="ＭＳ 明朝" w:hAnsi="ＭＳ 明朝" w:cs="Arial" w:hint="eastAsia"/>
                      <w:sz w:val="24"/>
                    </w:rPr>
                    <w:t>平成29年８月17日から同年９月30日まで（45日間）</w:t>
                  </w:r>
                </w:p>
              </w:tc>
            </w:tr>
          </w:tbl>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rPr>
                <w:rFonts w:ascii="ＭＳ 明朝" w:hAnsi="ＭＳ 明朝" w:cs="Arial"/>
                <w:sz w:val="24"/>
              </w:rPr>
            </w:pPr>
          </w:p>
          <w:p w:rsidR="00066B8F" w:rsidRPr="008E090B" w:rsidRDefault="00066B8F" w:rsidP="0056087C">
            <w:pPr>
              <w:autoSpaceDE w:val="0"/>
              <w:autoSpaceDN w:val="0"/>
              <w:snapToGrid w:val="0"/>
              <w:spacing w:line="300" w:lineRule="exact"/>
              <w:ind w:firstLineChars="100" w:firstLine="240"/>
              <w:rPr>
                <w:rFonts w:ascii="ＭＳ 明朝" w:hAnsi="ＭＳ 明朝" w:cs="Arial"/>
                <w:sz w:val="24"/>
              </w:rPr>
            </w:pPr>
          </w:p>
        </w:tc>
        <w:tc>
          <w:tcPr>
            <w:tcW w:w="7071" w:type="dxa"/>
            <w:tcBorders>
              <w:top w:val="single" w:sz="4" w:space="0" w:color="auto"/>
              <w:left w:val="single" w:sz="4" w:space="0" w:color="auto"/>
              <w:bottom w:val="single" w:sz="4" w:space="0" w:color="auto"/>
              <w:right w:val="single" w:sz="4" w:space="0" w:color="auto"/>
            </w:tcBorders>
            <w:shd w:val="clear" w:color="auto" w:fill="auto"/>
          </w:tcPr>
          <w:p w:rsidR="00066B8F" w:rsidRPr="008E090B" w:rsidRDefault="00066B8F" w:rsidP="0056087C">
            <w:pPr>
              <w:autoSpaceDE w:val="0"/>
              <w:autoSpaceDN w:val="0"/>
              <w:spacing w:line="300" w:lineRule="exact"/>
              <w:rPr>
                <w:rFonts w:ascii="ＭＳ ゴシック" w:eastAsia="ＭＳ ゴシック" w:hAnsi="ＭＳ ゴシック"/>
                <w:sz w:val="24"/>
              </w:rPr>
            </w:pPr>
          </w:p>
          <w:p w:rsidR="00066B8F" w:rsidRPr="008E090B" w:rsidRDefault="00066B8F" w:rsidP="0056087C">
            <w:pPr>
              <w:autoSpaceDE w:val="0"/>
              <w:autoSpaceDN w:val="0"/>
              <w:spacing w:line="300" w:lineRule="exact"/>
              <w:ind w:firstLineChars="100" w:firstLine="240"/>
              <w:rPr>
                <w:rFonts w:ascii="ＭＳ 明朝" w:hAnsi="ＭＳ 明朝"/>
                <w:sz w:val="24"/>
              </w:rPr>
            </w:pPr>
            <w:r w:rsidRPr="008E090B">
              <w:rPr>
                <w:rFonts w:ascii="ＭＳ 明朝" w:hAnsi="ＭＳ 明朝" w:cs="Arial" w:hint="eastAsia"/>
                <w:sz w:val="24"/>
                <w:szCs w:val="22"/>
              </w:rPr>
              <w:t>今後は、大阪府立学校職員安全衛生管理規程に基づき、適正な事務処理を行なわれたい。</w:t>
            </w:r>
          </w:p>
          <w:p w:rsidR="00066B8F" w:rsidRPr="008E090B" w:rsidRDefault="00066B8F" w:rsidP="0056087C">
            <w:pPr>
              <w:autoSpaceDE w:val="0"/>
              <w:autoSpaceDN w:val="0"/>
              <w:snapToGrid w:val="0"/>
              <w:spacing w:line="300" w:lineRule="exact"/>
              <w:ind w:left="210" w:hangingChars="100" w:hanging="210"/>
              <w:rPr>
                <w:rFonts w:ascii="ＭＳ 明朝" w:hAnsi="ＭＳ 明朝"/>
                <w:sz w:val="24"/>
              </w:rPr>
            </w:pPr>
            <w:r>
              <w:rPr>
                <w:noProof/>
                <w:szCs w:val="22"/>
              </w:rPr>
              <mc:AlternateContent>
                <mc:Choice Requires="wps">
                  <w:drawing>
                    <wp:anchor distT="0" distB="0" distL="114300" distR="114300" simplePos="0" relativeHeight="251662848" behindDoc="0" locked="0" layoutInCell="1" allowOverlap="1">
                      <wp:simplePos x="0" y="0"/>
                      <wp:positionH relativeFrom="column">
                        <wp:posOffset>33020</wp:posOffset>
                      </wp:positionH>
                      <wp:positionV relativeFrom="paragraph">
                        <wp:posOffset>33655</wp:posOffset>
                      </wp:positionV>
                      <wp:extent cx="4089400" cy="3609975"/>
                      <wp:effectExtent l="8255" t="8255" r="7620" b="1079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3609975"/>
                              </a:xfrm>
                              <a:prstGeom prst="rect">
                                <a:avLst/>
                              </a:prstGeom>
                              <a:solidFill>
                                <a:srgbClr val="FFFFFF"/>
                              </a:solidFill>
                              <a:ln w="6350">
                                <a:solidFill>
                                  <a:srgbClr val="000000"/>
                                </a:solidFill>
                                <a:prstDash val="dash"/>
                                <a:miter lim="800000"/>
                                <a:headEnd/>
                                <a:tailEnd/>
                              </a:ln>
                            </wps:spPr>
                            <wps:txbx>
                              <w:txbxContent>
                                <w:p w:rsidR="00066B8F" w:rsidRPr="00B101E9" w:rsidRDefault="00066B8F" w:rsidP="008E090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066B8F" w:rsidRPr="00C84B12" w:rsidRDefault="00066B8F" w:rsidP="008E090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066B8F" w:rsidRPr="00C84B12" w:rsidRDefault="00066B8F" w:rsidP="008E090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sidR="00046BD9">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066B8F" w:rsidRPr="00C84B12" w:rsidRDefault="00066B8F" w:rsidP="00BE3C62">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066B8F" w:rsidRPr="00C84B12" w:rsidRDefault="00066B8F" w:rsidP="008E090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066B8F" w:rsidRPr="005E426C" w:rsidRDefault="00066B8F" w:rsidP="008E090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6pt;margin-top:2.65pt;width:322pt;height:2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" strokeweight=".5pt">
                      <v:stroke dashstyle="dash"/>
                      <v:textbox inset="5.85pt,.7pt,5.85pt,.7pt">
                        <w:txbxContent>
                          <w:p w:rsidR="00066B8F" w:rsidRPr="00B101E9" w:rsidRDefault="00066B8F" w:rsidP="008E090B">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066B8F" w:rsidRPr="00C84B12" w:rsidRDefault="00066B8F" w:rsidP="008E090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066B8F" w:rsidRPr="00C84B12" w:rsidRDefault="00066B8F" w:rsidP="008E090B">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sidR="00046BD9">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066B8F" w:rsidRPr="00C84B12" w:rsidRDefault="00066B8F" w:rsidP="00BE3C62">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066B8F" w:rsidRPr="00C84B12" w:rsidRDefault="00066B8F" w:rsidP="008E090B">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066B8F" w:rsidRPr="005E426C" w:rsidRDefault="00066B8F" w:rsidP="008E090B">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pacing w:line="300" w:lineRule="exact"/>
              <w:ind w:firstLineChars="100" w:firstLine="210"/>
              <w:rPr>
                <w:rFonts w:ascii="ＭＳ 明朝" w:hAnsi="ＭＳ 明朝"/>
                <w:sz w:val="24"/>
              </w:rPr>
            </w:pPr>
            <w:r>
              <w:rPr>
                <w:noProof/>
                <w:szCs w:val="22"/>
              </w:rPr>
              <mc:AlternateContent>
                <mc:Choice Requires="wps">
                  <w:drawing>
                    <wp:anchor distT="0" distB="0" distL="114300" distR="114300" simplePos="0" relativeHeight="251661824" behindDoc="0" locked="0" layoutInCell="1" allowOverlap="1">
                      <wp:simplePos x="0" y="0"/>
                      <wp:positionH relativeFrom="column">
                        <wp:posOffset>8738235</wp:posOffset>
                      </wp:positionH>
                      <wp:positionV relativeFrom="paragraph">
                        <wp:posOffset>4102100</wp:posOffset>
                      </wp:positionV>
                      <wp:extent cx="5367020" cy="4109085"/>
                      <wp:effectExtent l="0" t="0" r="24130" b="24765"/>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066B8F" w:rsidRDefault="00066B8F" w:rsidP="008E090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066B8F" w:rsidRPr="00125E81" w:rsidRDefault="00066B8F" w:rsidP="008E090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066B8F" w:rsidRPr="00125E81" w:rsidRDefault="00066B8F" w:rsidP="008E090B">
                                  <w:pPr>
                                    <w:autoSpaceDE w:val="0"/>
                                    <w:autoSpaceDN w:val="0"/>
                                    <w:snapToGrid w:val="0"/>
                                    <w:rPr>
                                      <w:rFonts w:ascii="ＭＳ 明朝" w:hAnsi="ＭＳ 明朝" w:cs="Arial"/>
                                      <w:sz w:val="24"/>
                                    </w:rPr>
                                  </w:pP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066B8F" w:rsidRPr="00125E81" w:rsidRDefault="00066B8F" w:rsidP="008E090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066B8F" w:rsidRPr="00125E81" w:rsidRDefault="00066B8F" w:rsidP="008E090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066B8F" w:rsidRPr="00125E81" w:rsidRDefault="00066B8F" w:rsidP="008E090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066B8F" w:rsidRPr="00125E81" w:rsidRDefault="00066B8F" w:rsidP="008E090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688.05pt;margin-top:323pt;width:422.6pt;height:32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" fillcolor="window" strokeweight=".5pt">
                      <v:stroke dashstyle="dash"/>
                      <v:path arrowok="t"/>
                      <v:textbox>
                        <w:txbxContent>
                          <w:p w:rsidR="00066B8F" w:rsidRDefault="00066B8F" w:rsidP="008E090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066B8F" w:rsidRPr="00125E81" w:rsidRDefault="00066B8F" w:rsidP="008E090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066B8F" w:rsidRPr="00125E81" w:rsidRDefault="00066B8F" w:rsidP="008E090B">
                            <w:pPr>
                              <w:autoSpaceDE w:val="0"/>
                              <w:autoSpaceDN w:val="0"/>
                              <w:snapToGrid w:val="0"/>
                              <w:rPr>
                                <w:rFonts w:ascii="ＭＳ 明朝" w:hAnsi="ＭＳ 明朝" w:cs="Arial"/>
                                <w:sz w:val="24"/>
                              </w:rPr>
                            </w:pP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066B8F" w:rsidRPr="00125E81" w:rsidRDefault="00066B8F" w:rsidP="008E090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066B8F" w:rsidRPr="00125E81" w:rsidRDefault="00066B8F" w:rsidP="008E090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066B8F" w:rsidRPr="00125E81" w:rsidRDefault="00066B8F" w:rsidP="008E090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066B8F" w:rsidRPr="00125E81" w:rsidRDefault="00066B8F" w:rsidP="008E090B">
                            <w:pPr>
                              <w:autoSpaceDE w:val="0"/>
                              <w:autoSpaceDN w:val="0"/>
                            </w:pPr>
                          </w:p>
                        </w:txbxContent>
                      </v:textbox>
                    </v:shape>
                  </w:pict>
                </mc:Fallback>
              </mc:AlternateContent>
            </w:r>
            <w:r>
              <w:rPr>
                <w:noProof/>
                <w:szCs w:val="22"/>
              </w:rPr>
              <mc:AlternateContent>
                <mc:Choice Requires="wps">
                  <w:drawing>
                    <wp:anchor distT="0" distB="0" distL="114300" distR="114300" simplePos="0" relativeHeight="251660800" behindDoc="0" locked="0" layoutInCell="1" allowOverlap="1">
                      <wp:simplePos x="0" y="0"/>
                      <wp:positionH relativeFrom="column">
                        <wp:posOffset>8738235</wp:posOffset>
                      </wp:positionH>
                      <wp:positionV relativeFrom="paragraph">
                        <wp:posOffset>4102100</wp:posOffset>
                      </wp:positionV>
                      <wp:extent cx="5367020" cy="4109085"/>
                      <wp:effectExtent l="0" t="0" r="24130"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020" cy="4109085"/>
                              </a:xfrm>
                              <a:prstGeom prst="rect">
                                <a:avLst/>
                              </a:prstGeom>
                              <a:solidFill>
                                <a:sysClr val="window" lastClr="FFFFFF"/>
                              </a:solidFill>
                              <a:ln w="6350">
                                <a:solidFill>
                                  <a:prstClr val="black"/>
                                </a:solidFill>
                                <a:prstDash val="dash"/>
                              </a:ln>
                              <a:effectLst/>
                            </wps:spPr>
                            <wps:txbx>
                              <w:txbxContent>
                                <w:p w:rsidR="00066B8F" w:rsidRDefault="00066B8F" w:rsidP="008E090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066B8F" w:rsidRPr="00125E81" w:rsidRDefault="00066B8F" w:rsidP="008E090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066B8F" w:rsidRPr="00125E81" w:rsidRDefault="00066B8F" w:rsidP="008E090B">
                                  <w:pPr>
                                    <w:autoSpaceDE w:val="0"/>
                                    <w:autoSpaceDN w:val="0"/>
                                    <w:snapToGrid w:val="0"/>
                                    <w:rPr>
                                      <w:rFonts w:ascii="ＭＳ 明朝" w:hAnsi="ＭＳ 明朝" w:cs="Arial"/>
                                      <w:sz w:val="24"/>
                                    </w:rPr>
                                  </w:pP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066B8F" w:rsidRPr="00125E81" w:rsidRDefault="00066B8F" w:rsidP="008E090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066B8F" w:rsidRPr="00125E81" w:rsidRDefault="00066B8F" w:rsidP="008E090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066B8F" w:rsidRPr="00125E81" w:rsidRDefault="00066B8F" w:rsidP="008E090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066B8F" w:rsidRPr="00125E81" w:rsidRDefault="00066B8F" w:rsidP="008E090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88.05pt;margin-top:323pt;width:422.6pt;height:32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" fillcolor="window" strokeweight=".5pt">
                      <v:stroke dashstyle="dash"/>
                      <v:path arrowok="t"/>
                      <v:textbox>
                        <w:txbxContent>
                          <w:p w:rsidR="00066B8F" w:rsidRDefault="00066B8F" w:rsidP="008E090B">
                            <w:pPr>
                              <w:autoSpaceDE w:val="0"/>
                              <w:autoSpaceDN w:val="0"/>
                              <w:snapToGrid w:val="0"/>
                              <w:rPr>
                                <w:rFonts w:ascii="ＭＳ 明朝" w:hAnsi="ＭＳ 明朝" w:cs="Arial"/>
                                <w:sz w:val="24"/>
                              </w:rPr>
                            </w:pPr>
                            <w:r>
                              <w:rPr>
                                <w:rFonts w:ascii="ＭＳ 明朝" w:hAnsi="ＭＳ 明朝" w:cs="Arial" w:hint="eastAsia"/>
                                <w:sz w:val="24"/>
                              </w:rPr>
                              <w:t>【大阪府公有財産規則】</w:t>
                            </w: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(管理の原則)</w:t>
                            </w:r>
                          </w:p>
                          <w:p w:rsidR="00066B8F" w:rsidRPr="00125E81" w:rsidRDefault="00066B8F" w:rsidP="008E090B">
                            <w:pPr>
                              <w:autoSpaceDE w:val="0"/>
                              <w:autoSpaceDN w:val="0"/>
                              <w:snapToGrid w:val="0"/>
                              <w:ind w:left="240" w:hangingChars="100" w:hanging="240"/>
                              <w:rPr>
                                <w:rFonts w:ascii="ＭＳ 明朝" w:hAnsi="ＭＳ 明朝" w:cs="Arial"/>
                                <w:sz w:val="24"/>
                              </w:rPr>
                            </w:pPr>
                            <w:r>
                              <w:rPr>
                                <w:rFonts w:ascii="ＭＳ 明朝" w:hAnsi="ＭＳ 明朝" w:cs="Arial" w:hint="eastAsia"/>
                                <w:sz w:val="24"/>
                              </w:rPr>
                              <w:t>第14</w:t>
                            </w:r>
                            <w:r w:rsidRPr="00125E81">
                              <w:rPr>
                                <w:rFonts w:ascii="ＭＳ 明朝" w:hAnsi="ＭＳ 明朝" w:cs="Arial" w:hint="eastAsia"/>
                                <w:sz w:val="24"/>
                              </w:rPr>
                              <w:t>条　公有財産は、常に良好な状態において管理し、適正かつ効率的に運用しなければならない。</w:t>
                            </w:r>
                          </w:p>
                          <w:p w:rsidR="00066B8F" w:rsidRPr="00125E81" w:rsidRDefault="00066B8F" w:rsidP="008E090B">
                            <w:pPr>
                              <w:autoSpaceDE w:val="0"/>
                              <w:autoSpaceDN w:val="0"/>
                              <w:snapToGrid w:val="0"/>
                              <w:rPr>
                                <w:rFonts w:ascii="ＭＳ 明朝" w:hAnsi="ＭＳ 明朝" w:cs="Arial"/>
                                <w:sz w:val="24"/>
                              </w:rPr>
                            </w:pPr>
                          </w:p>
                          <w:p w:rsidR="00066B8F" w:rsidRPr="00125E81" w:rsidRDefault="00066B8F" w:rsidP="008E090B">
                            <w:pPr>
                              <w:autoSpaceDE w:val="0"/>
                              <w:autoSpaceDN w:val="0"/>
                              <w:snapToGrid w:val="0"/>
                              <w:rPr>
                                <w:rFonts w:ascii="ＭＳ 明朝" w:hAnsi="ＭＳ 明朝" w:cs="Arial"/>
                                <w:sz w:val="24"/>
                              </w:rPr>
                            </w:pPr>
                            <w:r w:rsidRPr="00125E81">
                              <w:rPr>
                                <w:rFonts w:ascii="ＭＳ 明朝" w:hAnsi="ＭＳ 明朝" w:cs="Arial" w:hint="eastAsia"/>
                                <w:sz w:val="24"/>
                              </w:rPr>
                              <w:t>(使用許可の範囲</w:t>
                            </w:r>
                            <w:r>
                              <w:rPr>
                                <w:rFonts w:ascii="ＭＳ 明朝" w:hAnsi="ＭＳ 明朝" w:cs="Arial" w:hint="eastAsia"/>
                                <w:sz w:val="24"/>
                              </w:rPr>
                              <w:t>)</w:t>
                            </w:r>
                          </w:p>
                          <w:p w:rsidR="00066B8F" w:rsidRPr="00125E81" w:rsidRDefault="00066B8F" w:rsidP="008E090B">
                            <w:pPr>
                              <w:autoSpaceDE w:val="0"/>
                              <w:autoSpaceDN w:val="0"/>
                              <w:snapToGrid w:val="0"/>
                              <w:rPr>
                                <w:rFonts w:ascii="ＭＳ 明朝" w:hAnsi="ＭＳ 明朝" w:cs="Arial"/>
                                <w:sz w:val="24"/>
                              </w:rPr>
                            </w:pPr>
                            <w:r>
                              <w:rPr>
                                <w:rFonts w:ascii="ＭＳ 明朝" w:hAnsi="ＭＳ 明朝" w:cs="Arial" w:hint="eastAsia"/>
                                <w:sz w:val="24"/>
                              </w:rPr>
                              <w:t>第22</w:t>
                            </w:r>
                            <w:r w:rsidRPr="00125E81">
                              <w:rPr>
                                <w:rFonts w:ascii="ＭＳ 明朝" w:hAnsi="ＭＳ 明朝" w:cs="Arial" w:hint="eastAsia"/>
                                <w:sz w:val="24"/>
                              </w:rPr>
                              <w:t>条</w:t>
                            </w:r>
                            <w:r>
                              <w:rPr>
                                <w:rFonts w:ascii="ＭＳ 明朝" w:hAnsi="ＭＳ 明朝" w:cs="Arial" w:hint="eastAsia"/>
                                <w:sz w:val="24"/>
                              </w:rPr>
                              <w:t xml:space="preserve">　行政財産は、次の各号のいずれかに該当する場合は、法第238条の４第７</w:t>
                            </w:r>
                            <w:r w:rsidRPr="00125E81">
                              <w:rPr>
                                <w:rFonts w:ascii="ＭＳ 明朝" w:hAnsi="ＭＳ 明朝" w:cs="Arial" w:hint="eastAsia"/>
                                <w:sz w:val="24"/>
                              </w:rPr>
                              <w:t>項の規定により、その使用を許可することができる。</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一　府の職員、府立の学校その他の施設を利用する者等の福利厚生のための施設の用に供するとき。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二　国又は他の地方公共団体が行う調査研究、公の施策の普及宣伝その他公共の目的のために行われる講演会、研究会等の用に短期間供するとき。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三　水道事業、電気事業、ガス事業その他知事が指定する事業の用に供するとき。</w:t>
                            </w:r>
                          </w:p>
                          <w:p w:rsidR="00066B8F" w:rsidRPr="00125E81" w:rsidRDefault="00066B8F" w:rsidP="008E090B">
                            <w:pPr>
                              <w:autoSpaceDE w:val="0"/>
                              <w:autoSpaceDN w:val="0"/>
                              <w:snapToGrid w:val="0"/>
                              <w:ind w:leftChars="100" w:left="210"/>
                              <w:rPr>
                                <w:rFonts w:ascii="ＭＳ 明朝" w:hAnsi="ＭＳ 明朝" w:cs="Arial"/>
                                <w:sz w:val="24"/>
                              </w:rPr>
                            </w:pPr>
                            <w:r w:rsidRPr="00125E81">
                              <w:rPr>
                                <w:rFonts w:ascii="ＭＳ 明朝" w:hAnsi="ＭＳ 明朝" w:cs="Arial" w:hint="eastAsia"/>
                                <w:sz w:val="24"/>
                              </w:rPr>
                              <w:t>四　災害その他緊急事態の発生により、応急施設の用に短期間供するとき。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五　国又は他の地方公共団体その他の公共団体において公用又は公共用に供するとき。</w:t>
                            </w:r>
                          </w:p>
                          <w:p w:rsidR="00066B8F" w:rsidRPr="00125E81" w:rsidRDefault="00066B8F" w:rsidP="008E090B">
                            <w:pPr>
                              <w:autoSpaceDE w:val="0"/>
                              <w:autoSpaceDN w:val="0"/>
                              <w:snapToGrid w:val="0"/>
                              <w:ind w:firstLineChars="100" w:firstLine="240"/>
                              <w:rPr>
                                <w:rFonts w:ascii="ＭＳ 明朝" w:hAnsi="ＭＳ 明朝" w:cs="Arial"/>
                                <w:sz w:val="24"/>
                              </w:rPr>
                            </w:pPr>
                            <w:r w:rsidRPr="00125E81">
                              <w:rPr>
                                <w:rFonts w:ascii="ＭＳ 明朝" w:hAnsi="ＭＳ 明朝" w:cs="Arial" w:hint="eastAsia"/>
                                <w:sz w:val="24"/>
                              </w:rPr>
                              <w:t>六　行政財産の効率的利用に資すると認められるとき。</w:t>
                            </w:r>
                          </w:p>
                          <w:p w:rsidR="00066B8F" w:rsidRPr="00125E81" w:rsidRDefault="00066B8F" w:rsidP="008E090B">
                            <w:pPr>
                              <w:autoSpaceDE w:val="0"/>
                              <w:autoSpaceDN w:val="0"/>
                              <w:snapToGrid w:val="0"/>
                              <w:ind w:leftChars="100" w:left="450" w:hangingChars="100" w:hanging="240"/>
                              <w:rPr>
                                <w:rFonts w:ascii="ＭＳ 明朝" w:hAnsi="ＭＳ 明朝" w:cs="Arial"/>
                                <w:sz w:val="24"/>
                              </w:rPr>
                            </w:pPr>
                            <w:r w:rsidRPr="00125E81">
                              <w:rPr>
                                <w:rFonts w:ascii="ＭＳ 明朝" w:hAnsi="ＭＳ 明朝" w:cs="Arial" w:hint="eastAsia"/>
                                <w:sz w:val="24"/>
                              </w:rPr>
                              <w:t>七　前各号に掲げるもののほか、府の事務若しくは事業の遂行上又は公益上やむを得ないと認められるとき。</w:t>
                            </w:r>
                          </w:p>
                          <w:p w:rsidR="00066B8F" w:rsidRPr="00125E81" w:rsidRDefault="00066B8F" w:rsidP="008E090B">
                            <w:pPr>
                              <w:autoSpaceDE w:val="0"/>
                              <w:autoSpaceDN w:val="0"/>
                            </w:pPr>
                          </w:p>
                        </w:txbxContent>
                      </v:textbox>
                    </v:shape>
                  </w:pict>
                </mc:Fallback>
              </mc:AlternateContent>
            </w: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p>
          <w:p w:rsidR="00066B8F" w:rsidRPr="008E090B" w:rsidRDefault="00066B8F" w:rsidP="0056087C">
            <w:pPr>
              <w:autoSpaceDE w:val="0"/>
              <w:autoSpaceDN w:val="0"/>
              <w:snapToGrid w:val="0"/>
              <w:spacing w:line="300" w:lineRule="exact"/>
              <w:ind w:left="240" w:hangingChars="100" w:hanging="240"/>
              <w:rPr>
                <w:rFonts w:ascii="ＭＳ 明朝" w:hAnsi="ＭＳ 明朝"/>
                <w:sz w:val="24"/>
              </w:rPr>
            </w:pPr>
            <w:r w:rsidRPr="008E090B">
              <w:rPr>
                <w:rFonts w:ascii="ＭＳ 明朝" w:hAnsi="ＭＳ 明朝"/>
                <w:sz w:val="24"/>
              </w:rPr>
              <w:t xml:space="preserve"> </w:t>
            </w: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p w:rsidR="00066B8F" w:rsidRPr="008E090B" w:rsidRDefault="00066B8F" w:rsidP="0056087C">
            <w:pPr>
              <w:autoSpaceDE w:val="0"/>
              <w:autoSpaceDN w:val="0"/>
              <w:spacing w:line="300" w:lineRule="exact"/>
              <w:rPr>
                <w:rFonts w:ascii="ＭＳ 明朝" w:hAnsi="ＭＳ 明朝"/>
                <w:sz w:val="24"/>
              </w:rPr>
            </w:pPr>
          </w:p>
        </w:tc>
        <w:tc>
          <w:tcPr>
            <w:tcW w:w="2638" w:type="dxa"/>
            <w:tcBorders>
              <w:top w:val="single" w:sz="4" w:space="0" w:color="auto"/>
              <w:left w:val="single" w:sz="4" w:space="0" w:color="auto"/>
              <w:bottom w:val="single" w:sz="4" w:space="0" w:color="auto"/>
              <w:right w:val="single" w:sz="4" w:space="0" w:color="auto"/>
            </w:tcBorders>
          </w:tcPr>
          <w:p w:rsidR="009B52AB" w:rsidRDefault="009B52AB" w:rsidP="0056087C">
            <w:pPr>
              <w:autoSpaceDE w:val="0"/>
              <w:autoSpaceDN w:val="0"/>
              <w:spacing w:line="300" w:lineRule="exact"/>
              <w:ind w:firstLineChars="100" w:firstLine="240"/>
              <w:rPr>
                <w:rFonts w:ascii="ＭＳ 明朝" w:hAnsi="ＭＳ 明朝"/>
                <w:sz w:val="24"/>
              </w:rPr>
            </w:pPr>
          </w:p>
          <w:p w:rsidR="00DA4426" w:rsidRDefault="00877A0C" w:rsidP="0056087C">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w:t>
            </w:r>
            <w:r w:rsidR="00770917">
              <w:rPr>
                <w:rFonts w:ascii="ＭＳ 明朝" w:hAnsi="ＭＳ 明朝" w:hint="eastAsia"/>
                <w:sz w:val="24"/>
              </w:rPr>
              <w:t>て、復業に係る病者報告書を福利課に提出した。</w:t>
            </w:r>
          </w:p>
          <w:p w:rsidR="004169AE" w:rsidRPr="008E090B" w:rsidRDefault="004169AE" w:rsidP="0056087C">
            <w:pPr>
              <w:autoSpaceDE w:val="0"/>
              <w:autoSpaceDN w:val="0"/>
              <w:spacing w:line="300" w:lineRule="exact"/>
              <w:ind w:firstLineChars="100" w:firstLine="240"/>
              <w:rPr>
                <w:rFonts w:ascii="ＭＳ ゴシック" w:eastAsia="ＭＳ ゴシック" w:hAnsi="ＭＳ ゴシック"/>
                <w:sz w:val="24"/>
              </w:rPr>
            </w:pPr>
            <w:r>
              <w:rPr>
                <w:rFonts w:ascii="ＭＳ 明朝" w:hAnsi="ＭＳ 明朝" w:hint="eastAsia"/>
                <w:sz w:val="24"/>
              </w:rPr>
              <w:t>今後は</w:t>
            </w:r>
            <w:r w:rsidR="00DA4426">
              <w:rPr>
                <w:rFonts w:ascii="ＭＳ 明朝" w:hAnsi="ＭＳ 明朝" w:hint="eastAsia"/>
                <w:sz w:val="24"/>
              </w:rPr>
              <w:t>、法令等に基づき、</w:t>
            </w:r>
            <w:r>
              <w:rPr>
                <w:rFonts w:ascii="ＭＳ 明朝" w:hAnsi="ＭＳ 明朝" w:hint="eastAsia"/>
                <w:sz w:val="24"/>
              </w:rPr>
              <w:t>適正に処理</w:t>
            </w:r>
            <w:r w:rsidR="00DA4426">
              <w:rPr>
                <w:rFonts w:ascii="ＭＳ 明朝" w:hAnsi="ＭＳ 明朝" w:hint="eastAsia"/>
                <w:sz w:val="24"/>
              </w:rPr>
              <w:t>を行う</w:t>
            </w:r>
            <w:r>
              <w:rPr>
                <w:rFonts w:ascii="ＭＳ 明朝" w:hAnsi="ＭＳ 明朝" w:hint="eastAsia"/>
                <w:sz w:val="24"/>
              </w:rPr>
              <w:t>。</w:t>
            </w:r>
          </w:p>
        </w:tc>
      </w:tr>
    </w:tbl>
    <w:p w:rsidR="008E090B" w:rsidRPr="008E090B" w:rsidRDefault="008E090B" w:rsidP="008E090B">
      <w:pPr>
        <w:widowControl/>
        <w:wordWrap w:val="0"/>
        <w:autoSpaceDE w:val="0"/>
        <w:autoSpaceDN w:val="0"/>
        <w:spacing w:line="300" w:lineRule="exact"/>
        <w:jc w:val="right"/>
        <w:rPr>
          <w:rFonts w:ascii="ＭＳ 明朝" w:hAnsi="ＭＳ 明朝"/>
          <w:szCs w:val="22"/>
        </w:rPr>
      </w:pPr>
      <w:r w:rsidRPr="008E090B">
        <w:rPr>
          <w:rFonts w:ascii="ＭＳ ゴシック" w:eastAsia="ＭＳ ゴシック" w:hAnsi="ＭＳ ゴシック" w:hint="eastAsia"/>
          <w:sz w:val="24"/>
          <w:szCs w:val="28"/>
        </w:rPr>
        <w:t>監査（検査）実施年月日（委員：平成－年－月－日、事務局：平成31年１月30日）</w:t>
      </w:r>
    </w:p>
    <w:p w:rsidR="006655B5" w:rsidRPr="008E090B" w:rsidRDefault="006655B5" w:rsidP="008D4075">
      <w:pPr>
        <w:autoSpaceDE w:val="0"/>
        <w:autoSpaceDN w:val="0"/>
        <w:spacing w:line="300" w:lineRule="exact"/>
        <w:rPr>
          <w:rFonts w:ascii="ＭＳ ゴシック" w:eastAsia="ＭＳ ゴシック" w:hAnsi="ＭＳ ゴシック"/>
          <w:sz w:val="24"/>
        </w:rPr>
      </w:pPr>
    </w:p>
    <w:sectPr w:rsidR="006655B5" w:rsidRPr="008E090B" w:rsidSect="0056087C">
      <w:footerReference w:type="default" r:id="rId11"/>
      <w:pgSz w:w="23814" w:h="16839" w:orient="landscape" w:code="8"/>
      <w:pgMar w:top="2024" w:right="1701" w:bottom="2024" w:left="1622" w:header="851" w:footer="595" w:gutter="0"/>
      <w:pgNumType w:fmt="numberInDash" w:start="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DE6" w:rsidRDefault="00851DE6">
      <w:r>
        <w:separator/>
      </w:r>
    </w:p>
  </w:endnote>
  <w:endnote w:type="continuationSeparator" w:id="0">
    <w:p w:rsidR="00851DE6" w:rsidRDefault="0085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F4" w:rsidRDefault="003513F4">
    <w:pPr>
      <w:pStyle w:val="a5"/>
      <w:jc w:val="center"/>
    </w:pPr>
  </w:p>
  <w:p w:rsidR="003513F4" w:rsidRDefault="003513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DE6" w:rsidRDefault="00851DE6">
      <w:r>
        <w:separator/>
      </w:r>
    </w:p>
  </w:footnote>
  <w:footnote w:type="continuationSeparator" w:id="0">
    <w:p w:rsidR="00851DE6" w:rsidRDefault="0085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3AAB"/>
    <w:rsid w:val="00035690"/>
    <w:rsid w:val="00040B4C"/>
    <w:rsid w:val="00042FDC"/>
    <w:rsid w:val="00043DD7"/>
    <w:rsid w:val="000443C7"/>
    <w:rsid w:val="00046BD9"/>
    <w:rsid w:val="00054A08"/>
    <w:rsid w:val="0005569F"/>
    <w:rsid w:val="0006616F"/>
    <w:rsid w:val="00066B8F"/>
    <w:rsid w:val="00074E97"/>
    <w:rsid w:val="00080BE8"/>
    <w:rsid w:val="00084F88"/>
    <w:rsid w:val="00086C26"/>
    <w:rsid w:val="00090541"/>
    <w:rsid w:val="00090F62"/>
    <w:rsid w:val="00092982"/>
    <w:rsid w:val="00097727"/>
    <w:rsid w:val="000A0C23"/>
    <w:rsid w:val="000A6A54"/>
    <w:rsid w:val="000A7F9F"/>
    <w:rsid w:val="000B30CE"/>
    <w:rsid w:val="000B470F"/>
    <w:rsid w:val="000B5CD7"/>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332F"/>
    <w:rsid w:val="00142651"/>
    <w:rsid w:val="00155DD3"/>
    <w:rsid w:val="00157624"/>
    <w:rsid w:val="00162C26"/>
    <w:rsid w:val="00162C5E"/>
    <w:rsid w:val="0016572A"/>
    <w:rsid w:val="0016593A"/>
    <w:rsid w:val="00166E1D"/>
    <w:rsid w:val="00166F76"/>
    <w:rsid w:val="00173492"/>
    <w:rsid w:val="00175A4A"/>
    <w:rsid w:val="0018241A"/>
    <w:rsid w:val="00190775"/>
    <w:rsid w:val="001A4143"/>
    <w:rsid w:val="001A770E"/>
    <w:rsid w:val="001B0B29"/>
    <w:rsid w:val="001C0E29"/>
    <w:rsid w:val="001C3F1A"/>
    <w:rsid w:val="001D61C7"/>
    <w:rsid w:val="001D7065"/>
    <w:rsid w:val="001E7306"/>
    <w:rsid w:val="001F2C0D"/>
    <w:rsid w:val="00200721"/>
    <w:rsid w:val="00201446"/>
    <w:rsid w:val="00212E06"/>
    <w:rsid w:val="00216CFE"/>
    <w:rsid w:val="0022027E"/>
    <w:rsid w:val="002265B5"/>
    <w:rsid w:val="00226605"/>
    <w:rsid w:val="002309F6"/>
    <w:rsid w:val="00231071"/>
    <w:rsid w:val="00234092"/>
    <w:rsid w:val="00235F24"/>
    <w:rsid w:val="002452AF"/>
    <w:rsid w:val="00250225"/>
    <w:rsid w:val="002523DD"/>
    <w:rsid w:val="00254592"/>
    <w:rsid w:val="002552ED"/>
    <w:rsid w:val="002654F1"/>
    <w:rsid w:val="002660C9"/>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25E06"/>
    <w:rsid w:val="00331CE4"/>
    <w:rsid w:val="0033201F"/>
    <w:rsid w:val="0033337B"/>
    <w:rsid w:val="0033344E"/>
    <w:rsid w:val="0033349F"/>
    <w:rsid w:val="00334BC0"/>
    <w:rsid w:val="003350FB"/>
    <w:rsid w:val="00335BCA"/>
    <w:rsid w:val="00345ECD"/>
    <w:rsid w:val="00347193"/>
    <w:rsid w:val="00350B43"/>
    <w:rsid w:val="00350D3F"/>
    <w:rsid w:val="003513F4"/>
    <w:rsid w:val="00352392"/>
    <w:rsid w:val="0035353F"/>
    <w:rsid w:val="00357B15"/>
    <w:rsid w:val="00361B7F"/>
    <w:rsid w:val="0036253A"/>
    <w:rsid w:val="00363F5E"/>
    <w:rsid w:val="00372441"/>
    <w:rsid w:val="00385F58"/>
    <w:rsid w:val="003958CC"/>
    <w:rsid w:val="003A1A8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69AE"/>
    <w:rsid w:val="00416A47"/>
    <w:rsid w:val="0042000D"/>
    <w:rsid w:val="00425885"/>
    <w:rsid w:val="0043353B"/>
    <w:rsid w:val="004374E3"/>
    <w:rsid w:val="00440A12"/>
    <w:rsid w:val="00441AC9"/>
    <w:rsid w:val="00446A5D"/>
    <w:rsid w:val="00447C2A"/>
    <w:rsid w:val="00451CBA"/>
    <w:rsid w:val="00455829"/>
    <w:rsid w:val="004566C7"/>
    <w:rsid w:val="004568DE"/>
    <w:rsid w:val="00457A42"/>
    <w:rsid w:val="00465986"/>
    <w:rsid w:val="004677D0"/>
    <w:rsid w:val="004737FB"/>
    <w:rsid w:val="00474850"/>
    <w:rsid w:val="00476919"/>
    <w:rsid w:val="00483604"/>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003A1"/>
    <w:rsid w:val="00514FA9"/>
    <w:rsid w:val="005203C3"/>
    <w:rsid w:val="005249BB"/>
    <w:rsid w:val="005249CE"/>
    <w:rsid w:val="00526751"/>
    <w:rsid w:val="0053062A"/>
    <w:rsid w:val="00536460"/>
    <w:rsid w:val="0054385C"/>
    <w:rsid w:val="00543A0F"/>
    <w:rsid w:val="00545137"/>
    <w:rsid w:val="00547423"/>
    <w:rsid w:val="005474B6"/>
    <w:rsid w:val="0055438C"/>
    <w:rsid w:val="00554A00"/>
    <w:rsid w:val="0056087C"/>
    <w:rsid w:val="00560B75"/>
    <w:rsid w:val="00562187"/>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A772B"/>
    <w:rsid w:val="005B1F4D"/>
    <w:rsid w:val="005B46DF"/>
    <w:rsid w:val="005B7067"/>
    <w:rsid w:val="005B7870"/>
    <w:rsid w:val="005C3503"/>
    <w:rsid w:val="005C519C"/>
    <w:rsid w:val="005C57A3"/>
    <w:rsid w:val="005C6EB5"/>
    <w:rsid w:val="005D46A2"/>
    <w:rsid w:val="005D7EC6"/>
    <w:rsid w:val="005F1E37"/>
    <w:rsid w:val="005F5980"/>
    <w:rsid w:val="005F77A2"/>
    <w:rsid w:val="00600EC1"/>
    <w:rsid w:val="00605563"/>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55B5"/>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1F5A"/>
    <w:rsid w:val="006D724A"/>
    <w:rsid w:val="006E1C53"/>
    <w:rsid w:val="006E4247"/>
    <w:rsid w:val="006F0E14"/>
    <w:rsid w:val="006F19B0"/>
    <w:rsid w:val="006F2AEA"/>
    <w:rsid w:val="006F45EA"/>
    <w:rsid w:val="006F4E09"/>
    <w:rsid w:val="006F51F2"/>
    <w:rsid w:val="006F64FE"/>
    <w:rsid w:val="006F69E3"/>
    <w:rsid w:val="0070324E"/>
    <w:rsid w:val="00705183"/>
    <w:rsid w:val="0071032E"/>
    <w:rsid w:val="00710947"/>
    <w:rsid w:val="0071193E"/>
    <w:rsid w:val="007157B2"/>
    <w:rsid w:val="0071780F"/>
    <w:rsid w:val="007345A1"/>
    <w:rsid w:val="007362C2"/>
    <w:rsid w:val="00743283"/>
    <w:rsid w:val="0075333E"/>
    <w:rsid w:val="007537BF"/>
    <w:rsid w:val="007542E7"/>
    <w:rsid w:val="00766290"/>
    <w:rsid w:val="00770917"/>
    <w:rsid w:val="0077210F"/>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D34E1"/>
    <w:rsid w:val="007E25AB"/>
    <w:rsid w:val="007F07C8"/>
    <w:rsid w:val="007F08D3"/>
    <w:rsid w:val="008008A0"/>
    <w:rsid w:val="0080235E"/>
    <w:rsid w:val="00812ECB"/>
    <w:rsid w:val="00815CC9"/>
    <w:rsid w:val="008172D1"/>
    <w:rsid w:val="00817FBF"/>
    <w:rsid w:val="00821D22"/>
    <w:rsid w:val="0083029D"/>
    <w:rsid w:val="00832219"/>
    <w:rsid w:val="00842842"/>
    <w:rsid w:val="0084472F"/>
    <w:rsid w:val="00846348"/>
    <w:rsid w:val="00851B02"/>
    <w:rsid w:val="00851DE6"/>
    <w:rsid w:val="00855BEC"/>
    <w:rsid w:val="008572C8"/>
    <w:rsid w:val="0086123D"/>
    <w:rsid w:val="00867A2E"/>
    <w:rsid w:val="00867FF0"/>
    <w:rsid w:val="00873675"/>
    <w:rsid w:val="008747B9"/>
    <w:rsid w:val="00875F93"/>
    <w:rsid w:val="00877A0C"/>
    <w:rsid w:val="0088143A"/>
    <w:rsid w:val="00884FB3"/>
    <w:rsid w:val="00893576"/>
    <w:rsid w:val="008939C9"/>
    <w:rsid w:val="00896432"/>
    <w:rsid w:val="0089766B"/>
    <w:rsid w:val="008A2481"/>
    <w:rsid w:val="008A3E2A"/>
    <w:rsid w:val="008A5172"/>
    <w:rsid w:val="008B3DF1"/>
    <w:rsid w:val="008B56B9"/>
    <w:rsid w:val="008C503F"/>
    <w:rsid w:val="008C5A03"/>
    <w:rsid w:val="008C6561"/>
    <w:rsid w:val="008D22A3"/>
    <w:rsid w:val="008D26DC"/>
    <w:rsid w:val="008D4075"/>
    <w:rsid w:val="008D6754"/>
    <w:rsid w:val="008D7BE6"/>
    <w:rsid w:val="008E090B"/>
    <w:rsid w:val="008E456F"/>
    <w:rsid w:val="008E466B"/>
    <w:rsid w:val="008E75D1"/>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82B65"/>
    <w:rsid w:val="00991195"/>
    <w:rsid w:val="00996FE6"/>
    <w:rsid w:val="009A2446"/>
    <w:rsid w:val="009B3791"/>
    <w:rsid w:val="009B3C1A"/>
    <w:rsid w:val="009B52AB"/>
    <w:rsid w:val="009B5A38"/>
    <w:rsid w:val="009B5B91"/>
    <w:rsid w:val="009B656A"/>
    <w:rsid w:val="009B7A95"/>
    <w:rsid w:val="009C25EC"/>
    <w:rsid w:val="009C38B0"/>
    <w:rsid w:val="009C582D"/>
    <w:rsid w:val="009C7AC1"/>
    <w:rsid w:val="009D0A93"/>
    <w:rsid w:val="009D6A5D"/>
    <w:rsid w:val="009F0724"/>
    <w:rsid w:val="009F559C"/>
    <w:rsid w:val="00A00ECC"/>
    <w:rsid w:val="00A028F6"/>
    <w:rsid w:val="00A0336F"/>
    <w:rsid w:val="00A074A6"/>
    <w:rsid w:val="00A07EAC"/>
    <w:rsid w:val="00A100E0"/>
    <w:rsid w:val="00A10B8F"/>
    <w:rsid w:val="00A16670"/>
    <w:rsid w:val="00A16E55"/>
    <w:rsid w:val="00A209BE"/>
    <w:rsid w:val="00A239C6"/>
    <w:rsid w:val="00A2561C"/>
    <w:rsid w:val="00A37754"/>
    <w:rsid w:val="00A37896"/>
    <w:rsid w:val="00A43510"/>
    <w:rsid w:val="00A528F6"/>
    <w:rsid w:val="00A54BD4"/>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569C"/>
    <w:rsid w:val="00AA6A05"/>
    <w:rsid w:val="00AB2A4D"/>
    <w:rsid w:val="00AB5B8B"/>
    <w:rsid w:val="00AC12FA"/>
    <w:rsid w:val="00AC1873"/>
    <w:rsid w:val="00AC6FEB"/>
    <w:rsid w:val="00AD6550"/>
    <w:rsid w:val="00AE3158"/>
    <w:rsid w:val="00AE3161"/>
    <w:rsid w:val="00AE557C"/>
    <w:rsid w:val="00AE6CD5"/>
    <w:rsid w:val="00AF1E56"/>
    <w:rsid w:val="00AF49AD"/>
    <w:rsid w:val="00B14D2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C2E"/>
    <w:rsid w:val="00B8526F"/>
    <w:rsid w:val="00B85A91"/>
    <w:rsid w:val="00B85E36"/>
    <w:rsid w:val="00B865CD"/>
    <w:rsid w:val="00B904EA"/>
    <w:rsid w:val="00B90805"/>
    <w:rsid w:val="00B91987"/>
    <w:rsid w:val="00B94CAA"/>
    <w:rsid w:val="00B9698E"/>
    <w:rsid w:val="00B97919"/>
    <w:rsid w:val="00BA28AE"/>
    <w:rsid w:val="00BB3476"/>
    <w:rsid w:val="00BB6193"/>
    <w:rsid w:val="00BC172D"/>
    <w:rsid w:val="00BD0922"/>
    <w:rsid w:val="00BD1329"/>
    <w:rsid w:val="00BD1DC8"/>
    <w:rsid w:val="00BD646E"/>
    <w:rsid w:val="00BE0939"/>
    <w:rsid w:val="00BE3C62"/>
    <w:rsid w:val="00BE71EB"/>
    <w:rsid w:val="00BF3E99"/>
    <w:rsid w:val="00BF49B0"/>
    <w:rsid w:val="00BF4E2D"/>
    <w:rsid w:val="00BF7F67"/>
    <w:rsid w:val="00C04557"/>
    <w:rsid w:val="00C06804"/>
    <w:rsid w:val="00C06F72"/>
    <w:rsid w:val="00C07CB6"/>
    <w:rsid w:val="00C1677B"/>
    <w:rsid w:val="00C22A3A"/>
    <w:rsid w:val="00C2690F"/>
    <w:rsid w:val="00C360C4"/>
    <w:rsid w:val="00C37034"/>
    <w:rsid w:val="00C41733"/>
    <w:rsid w:val="00C422A9"/>
    <w:rsid w:val="00C44F41"/>
    <w:rsid w:val="00C52749"/>
    <w:rsid w:val="00C578B9"/>
    <w:rsid w:val="00C62401"/>
    <w:rsid w:val="00C648B9"/>
    <w:rsid w:val="00C649E3"/>
    <w:rsid w:val="00C66190"/>
    <w:rsid w:val="00C75580"/>
    <w:rsid w:val="00C81150"/>
    <w:rsid w:val="00C872D4"/>
    <w:rsid w:val="00C90187"/>
    <w:rsid w:val="00C919D9"/>
    <w:rsid w:val="00C91EC7"/>
    <w:rsid w:val="00C95F65"/>
    <w:rsid w:val="00CA0E19"/>
    <w:rsid w:val="00CB2AF5"/>
    <w:rsid w:val="00CB5F2D"/>
    <w:rsid w:val="00CB6C9F"/>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3B4"/>
    <w:rsid w:val="00D45547"/>
    <w:rsid w:val="00D52595"/>
    <w:rsid w:val="00D563E9"/>
    <w:rsid w:val="00D57D45"/>
    <w:rsid w:val="00D57F1E"/>
    <w:rsid w:val="00D60A83"/>
    <w:rsid w:val="00D60A93"/>
    <w:rsid w:val="00D72573"/>
    <w:rsid w:val="00D73943"/>
    <w:rsid w:val="00D750DF"/>
    <w:rsid w:val="00D778EE"/>
    <w:rsid w:val="00D84050"/>
    <w:rsid w:val="00D90ACB"/>
    <w:rsid w:val="00D952C8"/>
    <w:rsid w:val="00DA4426"/>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68E"/>
    <w:rsid w:val="00E117EC"/>
    <w:rsid w:val="00E15935"/>
    <w:rsid w:val="00E16735"/>
    <w:rsid w:val="00E247F6"/>
    <w:rsid w:val="00E257BC"/>
    <w:rsid w:val="00E3036D"/>
    <w:rsid w:val="00E3260B"/>
    <w:rsid w:val="00E334F2"/>
    <w:rsid w:val="00E34568"/>
    <w:rsid w:val="00E364F6"/>
    <w:rsid w:val="00E373BA"/>
    <w:rsid w:val="00E374F0"/>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55FE"/>
    <w:rsid w:val="00EB0CFD"/>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063A8"/>
    <w:rsid w:val="00F108FC"/>
    <w:rsid w:val="00F150BF"/>
    <w:rsid w:val="00F15A09"/>
    <w:rsid w:val="00F175E9"/>
    <w:rsid w:val="00F2335E"/>
    <w:rsid w:val="00F26911"/>
    <w:rsid w:val="00F27039"/>
    <w:rsid w:val="00F30106"/>
    <w:rsid w:val="00F30A3F"/>
    <w:rsid w:val="00F34509"/>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FE8"/>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0591"/>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1236313"/>
  <w15:docId w15:val="{C3E5D04E-267A-4E9B-BC85-3C6FCE0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3B36-2F23-47BA-B0D1-6DED8370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ACADE5-E4C5-4549-B951-BF1D3691617D}">
  <ds:schemaRefs>
    <ds:schemaRef ds:uri="http://schemas.microsoft.com/sharepoint/v3/contenttype/forms"/>
  </ds:schemaRefs>
</ds:datastoreItem>
</file>

<file path=customXml/itemProps3.xml><?xml version="1.0" encoding="utf-8"?>
<ds:datastoreItem xmlns:ds="http://schemas.openxmlformats.org/officeDocument/2006/customXml" ds:itemID="{6C4F1B7A-EB91-4ACE-BE81-7D9D4F91C243}">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CA5A0FC-98D0-4FBD-8E21-BAF22BB7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323</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2019-09-19T04:52:00Z</cp:lastPrinted>
  <dcterms:created xsi:type="dcterms:W3CDTF">2019-11-21T07:57:00Z</dcterms:created>
  <dcterms:modified xsi:type="dcterms:W3CDTF">2019-11-21T08:17:00Z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