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08" w:tblpY="374"/>
        <w:tblW w:w="20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406"/>
        <w:gridCol w:w="7540"/>
        <w:gridCol w:w="4535"/>
      </w:tblGrid>
      <w:tr w:rsidR="00614675" w:rsidRPr="00D82F4E" w:rsidTr="0029198B">
        <w:trPr>
          <w:trHeight w:val="674"/>
        </w:trPr>
        <w:tc>
          <w:tcPr>
            <w:tcW w:w="2093"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GoBack"/>
            <w:bookmarkEnd w:id="0"/>
            <w:r w:rsidRPr="00614675">
              <w:rPr>
                <w:rFonts w:ascii="ＭＳ Ｐゴシック" w:eastAsia="ＭＳ Ｐゴシック" w:hAnsi="ＭＳ Ｐゴシック" w:cs="Arial" w:hint="eastAsia"/>
                <w:color w:val="000000"/>
                <w:kern w:val="0"/>
              </w:rPr>
              <w:t>対象受検機関</w:t>
            </w:r>
          </w:p>
        </w:tc>
        <w:tc>
          <w:tcPr>
            <w:tcW w:w="6406"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7540"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535"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614675" w:rsidRPr="00D82F4E" w:rsidTr="0029198B">
        <w:trPr>
          <w:trHeight w:val="9938"/>
        </w:trPr>
        <w:tc>
          <w:tcPr>
            <w:tcW w:w="2093" w:type="dxa"/>
            <w:shd w:val="clear" w:color="auto" w:fill="auto"/>
          </w:tcPr>
          <w:p w:rsidR="006C3E58" w:rsidRDefault="006C3E58" w:rsidP="004D7741">
            <w:pPr>
              <w:autoSpaceDE w:val="0"/>
              <w:autoSpaceDN w:val="0"/>
              <w:spacing w:line="300" w:lineRule="exact"/>
              <w:rPr>
                <w:rFonts w:hAnsi="ＭＳ 明朝"/>
              </w:rPr>
            </w:pPr>
          </w:p>
          <w:p w:rsidR="00614675" w:rsidRPr="00614675" w:rsidRDefault="006F48C7" w:rsidP="004D7741">
            <w:pPr>
              <w:autoSpaceDE w:val="0"/>
              <w:autoSpaceDN w:val="0"/>
              <w:snapToGrid w:val="0"/>
              <w:spacing w:line="300" w:lineRule="exact"/>
              <w:rPr>
                <w:rFonts w:hAnsi="ＭＳ 明朝"/>
              </w:rPr>
            </w:pPr>
            <w:r w:rsidRPr="006F48C7">
              <w:rPr>
                <w:rFonts w:hAnsi="ＭＳ 明朝" w:hint="eastAsia"/>
              </w:rPr>
              <w:t>寝屋川水系改修工営所</w:t>
            </w:r>
          </w:p>
          <w:p w:rsidR="00614675" w:rsidRPr="00614675" w:rsidRDefault="00614675" w:rsidP="004D7741">
            <w:pPr>
              <w:autoSpaceDE w:val="0"/>
              <w:autoSpaceDN w:val="0"/>
              <w:snapToGrid w:val="0"/>
              <w:spacing w:line="300" w:lineRule="exact"/>
              <w:rPr>
                <w:rFonts w:hAnsi="ＭＳ 明朝"/>
              </w:rPr>
            </w:pPr>
          </w:p>
        </w:tc>
        <w:tc>
          <w:tcPr>
            <w:tcW w:w="6406" w:type="dxa"/>
            <w:shd w:val="clear" w:color="auto" w:fill="auto"/>
          </w:tcPr>
          <w:p w:rsidR="00614675" w:rsidRDefault="00614675" w:rsidP="00333CD5">
            <w:pPr>
              <w:autoSpaceDE w:val="0"/>
              <w:autoSpaceDN w:val="0"/>
              <w:snapToGrid w:val="0"/>
              <w:spacing w:line="300" w:lineRule="exact"/>
              <w:rPr>
                <w:rFonts w:hAnsi="ＭＳ 明朝" w:cs="Arial"/>
              </w:rPr>
            </w:pPr>
          </w:p>
          <w:p w:rsidR="00652B22" w:rsidRPr="00652B22" w:rsidRDefault="00652B22" w:rsidP="00333CD5">
            <w:pPr>
              <w:autoSpaceDE w:val="0"/>
              <w:autoSpaceDN w:val="0"/>
              <w:spacing w:line="300" w:lineRule="exact"/>
              <w:ind w:firstLineChars="100" w:firstLine="240"/>
              <w:rPr>
                <w:rFonts w:hAnsi="ＭＳ 明朝"/>
              </w:rPr>
            </w:pPr>
            <w:r w:rsidRPr="00652B22">
              <w:rPr>
                <w:rFonts w:hAnsi="ＭＳ 明朝" w:hint="eastAsia"/>
              </w:rPr>
              <w:t>令和元年度から令和３年度における下記の業務については、工事が完了し、引き渡しを受けたときにおいて、大阪府公有財産台帳等処理要領別表４に基づき資産として公有財産台帳に登載する必要がある。また、それまでの間は、大阪府財務諸表作成基準第15条第７号に基づき一時的に建設仮勘定に計上する必要があるが、建設仮勘定に計上せずに、資産ではなく費用として処理した結果、公有財産台帳に登載されておらず、財務諸表上の費用が過大に、固定資産が過小となっていた。</w:t>
            </w:r>
          </w:p>
          <w:p w:rsidR="00652B22" w:rsidRPr="00652B22" w:rsidRDefault="00652B22" w:rsidP="00333CD5">
            <w:pPr>
              <w:autoSpaceDE w:val="0"/>
              <w:autoSpaceDN w:val="0"/>
              <w:spacing w:line="300" w:lineRule="exact"/>
              <w:rPr>
                <w:rFonts w:hAnsi="ＭＳ 明朝"/>
              </w:rPr>
            </w:pPr>
          </w:p>
          <w:tbl>
            <w:tblPr>
              <w:tblpPr w:leftFromText="142" w:rightFromText="142" w:vertAnchor="text" w:horzAnchor="margin" w:tblpY="298"/>
              <w:tblOverlap w:val="neve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2534"/>
              <w:gridCol w:w="2127"/>
            </w:tblGrid>
            <w:tr w:rsidR="00652B22" w:rsidRPr="00652B22" w:rsidTr="00652B22">
              <w:trPr>
                <w:trHeight w:val="506"/>
              </w:trPr>
              <w:tc>
                <w:tcPr>
                  <w:tcW w:w="1430" w:type="dxa"/>
                  <w:shd w:val="clear" w:color="auto" w:fill="auto"/>
                  <w:vAlign w:val="center"/>
                </w:tcPr>
                <w:p w:rsidR="00652B22" w:rsidRPr="00652B22" w:rsidRDefault="00652B22" w:rsidP="00333CD5">
                  <w:pPr>
                    <w:autoSpaceDE w:val="0"/>
                    <w:autoSpaceDN w:val="0"/>
                    <w:spacing w:line="300" w:lineRule="exact"/>
                    <w:jc w:val="center"/>
                    <w:rPr>
                      <w:rFonts w:hAnsi="ＭＳ 明朝"/>
                    </w:rPr>
                  </w:pPr>
                  <w:r w:rsidRPr="00652B22">
                    <w:rPr>
                      <w:rFonts w:hAnsi="ＭＳ 明朝" w:hint="eastAsia"/>
                    </w:rPr>
                    <w:t>年度</w:t>
                  </w:r>
                </w:p>
              </w:tc>
              <w:tc>
                <w:tcPr>
                  <w:tcW w:w="2534" w:type="dxa"/>
                  <w:shd w:val="clear" w:color="auto" w:fill="auto"/>
                  <w:vAlign w:val="center"/>
                </w:tcPr>
                <w:p w:rsidR="00652B22" w:rsidRPr="00652B22" w:rsidRDefault="00652B22" w:rsidP="00333CD5">
                  <w:pPr>
                    <w:autoSpaceDE w:val="0"/>
                    <w:autoSpaceDN w:val="0"/>
                    <w:spacing w:line="300" w:lineRule="exact"/>
                    <w:jc w:val="center"/>
                    <w:rPr>
                      <w:rFonts w:hAnsi="ＭＳ 明朝"/>
                    </w:rPr>
                  </w:pPr>
                  <w:r w:rsidRPr="00652B22">
                    <w:rPr>
                      <w:rFonts w:hAnsi="ＭＳ 明朝" w:hint="eastAsia"/>
                    </w:rPr>
                    <w:t>契約名称</w:t>
                  </w:r>
                </w:p>
              </w:tc>
              <w:tc>
                <w:tcPr>
                  <w:tcW w:w="2127" w:type="dxa"/>
                  <w:shd w:val="clear" w:color="auto" w:fill="auto"/>
                  <w:vAlign w:val="center"/>
                </w:tcPr>
                <w:p w:rsidR="00652B22" w:rsidRPr="00652B22" w:rsidRDefault="00652B22" w:rsidP="00333CD5">
                  <w:pPr>
                    <w:autoSpaceDE w:val="0"/>
                    <w:autoSpaceDN w:val="0"/>
                    <w:spacing w:line="300" w:lineRule="exact"/>
                    <w:jc w:val="center"/>
                    <w:rPr>
                      <w:rFonts w:hAnsi="ＭＳ 明朝"/>
                    </w:rPr>
                  </w:pPr>
                  <w:r w:rsidRPr="00652B22">
                    <w:rPr>
                      <w:rFonts w:hAnsi="ＭＳ 明朝" w:hint="eastAsia"/>
                    </w:rPr>
                    <w:t>金額</w:t>
                  </w:r>
                </w:p>
              </w:tc>
            </w:tr>
            <w:tr w:rsidR="00652B22" w:rsidRPr="00652B22" w:rsidTr="00652B22">
              <w:trPr>
                <w:trHeight w:val="506"/>
              </w:trPr>
              <w:tc>
                <w:tcPr>
                  <w:tcW w:w="1430" w:type="dxa"/>
                  <w:shd w:val="clear" w:color="auto" w:fill="auto"/>
                  <w:vAlign w:val="center"/>
                </w:tcPr>
                <w:p w:rsidR="00652B22" w:rsidRPr="00652B22" w:rsidRDefault="00652B22" w:rsidP="00333CD5">
                  <w:pPr>
                    <w:autoSpaceDE w:val="0"/>
                    <w:autoSpaceDN w:val="0"/>
                    <w:spacing w:line="300" w:lineRule="exact"/>
                    <w:rPr>
                      <w:rFonts w:hAnsi="ＭＳ 明朝"/>
                    </w:rPr>
                  </w:pPr>
                  <w:r w:rsidRPr="00652B22">
                    <w:rPr>
                      <w:rFonts w:hAnsi="ＭＳ 明朝" w:hint="eastAsia"/>
                    </w:rPr>
                    <w:t>令和元年度</w:t>
                  </w:r>
                </w:p>
              </w:tc>
              <w:tc>
                <w:tcPr>
                  <w:tcW w:w="2534" w:type="dxa"/>
                  <w:vMerge w:val="restart"/>
                  <w:shd w:val="clear" w:color="auto" w:fill="auto"/>
                  <w:vAlign w:val="center"/>
                </w:tcPr>
                <w:p w:rsidR="00652B22" w:rsidRPr="00652B22" w:rsidRDefault="00652B22" w:rsidP="00333CD5">
                  <w:pPr>
                    <w:autoSpaceDE w:val="0"/>
                    <w:autoSpaceDN w:val="0"/>
                    <w:spacing w:line="300" w:lineRule="exact"/>
                    <w:rPr>
                      <w:rFonts w:hAnsi="ＭＳ 明朝"/>
                    </w:rPr>
                  </w:pPr>
                  <w:r w:rsidRPr="00652B22">
                    <w:rPr>
                      <w:rFonts w:hAnsi="ＭＳ 明朝" w:hint="eastAsia"/>
                    </w:rPr>
                    <w:t>一級河川恩智川改修工事（3</w:t>
                  </w:r>
                  <w:r w:rsidRPr="00652B22">
                    <w:rPr>
                      <w:rFonts w:hAnsi="ＭＳ 明朝"/>
                    </w:rPr>
                    <w:t>1-</w:t>
                  </w:r>
                  <w:r w:rsidRPr="00652B22">
                    <w:rPr>
                      <w:rFonts w:hAnsi="ＭＳ 明朝" w:hint="eastAsia"/>
                    </w:rPr>
                    <w:t>１工区）（薬師橋上流左岸）</w:t>
                  </w:r>
                </w:p>
              </w:tc>
              <w:tc>
                <w:tcPr>
                  <w:tcW w:w="2127" w:type="dxa"/>
                  <w:shd w:val="clear" w:color="auto" w:fill="auto"/>
                  <w:vAlign w:val="center"/>
                </w:tcPr>
                <w:p w:rsidR="00652B22" w:rsidRPr="00652B22" w:rsidRDefault="00652B22" w:rsidP="00333CD5">
                  <w:pPr>
                    <w:autoSpaceDE w:val="0"/>
                    <w:autoSpaceDN w:val="0"/>
                    <w:spacing w:line="300" w:lineRule="exact"/>
                    <w:jc w:val="right"/>
                    <w:rPr>
                      <w:rFonts w:hAnsi="ＭＳ 明朝"/>
                    </w:rPr>
                  </w:pPr>
                  <w:r w:rsidRPr="00652B22">
                    <w:rPr>
                      <w:rFonts w:hAnsi="ＭＳ 明朝"/>
                    </w:rPr>
                    <w:t>86,085,000</w:t>
                  </w:r>
                  <w:r w:rsidRPr="00652B22">
                    <w:rPr>
                      <w:rFonts w:hAnsi="ＭＳ 明朝" w:hint="eastAsia"/>
                    </w:rPr>
                    <w:t>円</w:t>
                  </w:r>
                </w:p>
              </w:tc>
            </w:tr>
            <w:tr w:rsidR="00652B22" w:rsidRPr="00652B22" w:rsidTr="00652B22">
              <w:trPr>
                <w:trHeight w:val="506"/>
              </w:trPr>
              <w:tc>
                <w:tcPr>
                  <w:tcW w:w="1430" w:type="dxa"/>
                  <w:shd w:val="clear" w:color="auto" w:fill="auto"/>
                  <w:vAlign w:val="center"/>
                </w:tcPr>
                <w:p w:rsidR="00652B22" w:rsidRPr="00652B22" w:rsidRDefault="00652B22" w:rsidP="00333CD5">
                  <w:pPr>
                    <w:autoSpaceDE w:val="0"/>
                    <w:autoSpaceDN w:val="0"/>
                    <w:spacing w:line="300" w:lineRule="exact"/>
                    <w:rPr>
                      <w:rFonts w:hAnsi="ＭＳ 明朝"/>
                    </w:rPr>
                  </w:pPr>
                  <w:r w:rsidRPr="00652B22">
                    <w:rPr>
                      <w:rFonts w:hAnsi="ＭＳ 明朝" w:hint="eastAsia"/>
                    </w:rPr>
                    <w:t>令和２年度</w:t>
                  </w:r>
                </w:p>
              </w:tc>
              <w:tc>
                <w:tcPr>
                  <w:tcW w:w="2534" w:type="dxa"/>
                  <w:vMerge/>
                  <w:shd w:val="clear" w:color="auto" w:fill="auto"/>
                  <w:vAlign w:val="center"/>
                </w:tcPr>
                <w:p w:rsidR="00652B22" w:rsidRPr="00652B22" w:rsidRDefault="00652B22" w:rsidP="00333CD5">
                  <w:pPr>
                    <w:autoSpaceDE w:val="0"/>
                    <w:autoSpaceDN w:val="0"/>
                    <w:spacing w:line="300" w:lineRule="exact"/>
                    <w:jc w:val="left"/>
                    <w:rPr>
                      <w:rFonts w:hAnsi="ＭＳ 明朝"/>
                    </w:rPr>
                  </w:pPr>
                </w:p>
              </w:tc>
              <w:tc>
                <w:tcPr>
                  <w:tcW w:w="2127" w:type="dxa"/>
                  <w:shd w:val="clear" w:color="auto" w:fill="auto"/>
                  <w:vAlign w:val="center"/>
                </w:tcPr>
                <w:p w:rsidR="00652B22" w:rsidRPr="00652B22" w:rsidRDefault="00652B22" w:rsidP="00333CD5">
                  <w:pPr>
                    <w:autoSpaceDE w:val="0"/>
                    <w:autoSpaceDN w:val="0"/>
                    <w:spacing w:line="300" w:lineRule="exact"/>
                    <w:jc w:val="right"/>
                    <w:rPr>
                      <w:rFonts w:hAnsi="ＭＳ 明朝"/>
                    </w:rPr>
                  </w:pPr>
                  <w:r w:rsidRPr="00652B22">
                    <w:rPr>
                      <w:rFonts w:hAnsi="ＭＳ 明朝" w:hint="eastAsia"/>
                    </w:rPr>
                    <w:t>2</w:t>
                  </w:r>
                  <w:r w:rsidRPr="00652B22">
                    <w:rPr>
                      <w:rFonts w:hAnsi="ＭＳ 明朝"/>
                    </w:rPr>
                    <w:t>06,085,600</w:t>
                  </w:r>
                  <w:r w:rsidRPr="00652B22">
                    <w:rPr>
                      <w:rFonts w:hAnsi="ＭＳ 明朝" w:hint="eastAsia"/>
                    </w:rPr>
                    <w:t>円</w:t>
                  </w:r>
                </w:p>
              </w:tc>
            </w:tr>
            <w:tr w:rsidR="00652B22" w:rsidRPr="00652B22" w:rsidTr="00652B22">
              <w:trPr>
                <w:trHeight w:val="506"/>
              </w:trPr>
              <w:tc>
                <w:tcPr>
                  <w:tcW w:w="1430" w:type="dxa"/>
                  <w:shd w:val="clear" w:color="auto" w:fill="auto"/>
                  <w:vAlign w:val="center"/>
                </w:tcPr>
                <w:p w:rsidR="00652B22" w:rsidRPr="00652B22" w:rsidRDefault="00652B22" w:rsidP="00333CD5">
                  <w:pPr>
                    <w:autoSpaceDE w:val="0"/>
                    <w:autoSpaceDN w:val="0"/>
                    <w:spacing w:line="300" w:lineRule="exact"/>
                    <w:jc w:val="center"/>
                    <w:rPr>
                      <w:rFonts w:hAnsi="ＭＳ 明朝"/>
                    </w:rPr>
                  </w:pPr>
                  <w:r w:rsidRPr="00652B22">
                    <w:rPr>
                      <w:rFonts w:hAnsi="ＭＳ 明朝" w:hint="eastAsia"/>
                    </w:rPr>
                    <w:t>令和３年度</w:t>
                  </w:r>
                </w:p>
              </w:tc>
              <w:tc>
                <w:tcPr>
                  <w:tcW w:w="2534" w:type="dxa"/>
                  <w:vMerge/>
                  <w:shd w:val="clear" w:color="auto" w:fill="auto"/>
                  <w:vAlign w:val="center"/>
                </w:tcPr>
                <w:p w:rsidR="00652B22" w:rsidRPr="00652B22" w:rsidRDefault="00652B22" w:rsidP="00333CD5">
                  <w:pPr>
                    <w:autoSpaceDE w:val="0"/>
                    <w:autoSpaceDN w:val="0"/>
                    <w:spacing w:line="300" w:lineRule="exact"/>
                    <w:jc w:val="left"/>
                    <w:rPr>
                      <w:rFonts w:hAnsi="ＭＳ 明朝"/>
                    </w:rPr>
                  </w:pPr>
                </w:p>
              </w:tc>
              <w:tc>
                <w:tcPr>
                  <w:tcW w:w="2127" w:type="dxa"/>
                  <w:shd w:val="clear" w:color="auto" w:fill="auto"/>
                  <w:vAlign w:val="center"/>
                </w:tcPr>
                <w:p w:rsidR="00652B22" w:rsidRPr="00652B22" w:rsidRDefault="00652B22" w:rsidP="00333CD5">
                  <w:pPr>
                    <w:autoSpaceDE w:val="0"/>
                    <w:autoSpaceDN w:val="0"/>
                    <w:spacing w:line="300" w:lineRule="exact"/>
                    <w:jc w:val="right"/>
                    <w:rPr>
                      <w:rFonts w:hAnsi="ＭＳ 明朝"/>
                    </w:rPr>
                  </w:pPr>
                  <w:r w:rsidRPr="00652B22">
                    <w:rPr>
                      <w:rFonts w:hAnsi="ＭＳ 明朝"/>
                    </w:rPr>
                    <w:t>7</w:t>
                  </w:r>
                  <w:r w:rsidRPr="00652B22">
                    <w:rPr>
                      <w:rFonts w:hAnsi="ＭＳ 明朝" w:hint="eastAsia"/>
                    </w:rPr>
                    <w:t>9</w:t>
                  </w:r>
                  <w:r w:rsidRPr="00652B22">
                    <w:rPr>
                      <w:rFonts w:hAnsi="ＭＳ 明朝"/>
                    </w:rPr>
                    <w:t>,141,000</w:t>
                  </w:r>
                  <w:r w:rsidRPr="00652B22">
                    <w:rPr>
                      <w:rFonts w:hAnsi="ＭＳ 明朝" w:hint="eastAsia"/>
                    </w:rPr>
                    <w:t>円</w:t>
                  </w:r>
                </w:p>
              </w:tc>
            </w:tr>
            <w:tr w:rsidR="00652B22" w:rsidRPr="00652B22" w:rsidTr="00652B22">
              <w:trPr>
                <w:trHeight w:val="506"/>
              </w:trPr>
              <w:tc>
                <w:tcPr>
                  <w:tcW w:w="3964" w:type="dxa"/>
                  <w:gridSpan w:val="2"/>
                  <w:shd w:val="clear" w:color="auto" w:fill="auto"/>
                  <w:vAlign w:val="center"/>
                </w:tcPr>
                <w:p w:rsidR="00652B22" w:rsidRPr="00652B22" w:rsidRDefault="00652B22" w:rsidP="00333CD5">
                  <w:pPr>
                    <w:autoSpaceDE w:val="0"/>
                    <w:autoSpaceDN w:val="0"/>
                    <w:spacing w:line="300" w:lineRule="exact"/>
                    <w:jc w:val="center"/>
                    <w:rPr>
                      <w:rFonts w:hAnsi="ＭＳ 明朝"/>
                    </w:rPr>
                  </w:pPr>
                  <w:r w:rsidRPr="00652B22">
                    <w:rPr>
                      <w:rFonts w:hAnsi="ＭＳ 明朝" w:hint="eastAsia"/>
                    </w:rPr>
                    <w:t>合計</w:t>
                  </w:r>
                </w:p>
              </w:tc>
              <w:tc>
                <w:tcPr>
                  <w:tcW w:w="2127" w:type="dxa"/>
                  <w:shd w:val="clear" w:color="auto" w:fill="auto"/>
                  <w:vAlign w:val="center"/>
                </w:tcPr>
                <w:p w:rsidR="00652B22" w:rsidRPr="00652B22" w:rsidRDefault="00652B22" w:rsidP="00333CD5">
                  <w:pPr>
                    <w:autoSpaceDE w:val="0"/>
                    <w:autoSpaceDN w:val="0"/>
                    <w:spacing w:line="300" w:lineRule="exact"/>
                    <w:jc w:val="right"/>
                    <w:rPr>
                      <w:rFonts w:hAnsi="ＭＳ 明朝"/>
                    </w:rPr>
                  </w:pPr>
                  <w:r w:rsidRPr="00652B22">
                    <w:rPr>
                      <w:rFonts w:hAnsi="ＭＳ 明朝" w:hint="eastAsia"/>
                    </w:rPr>
                    <w:t>3</w:t>
                  </w:r>
                  <w:r w:rsidRPr="00652B22">
                    <w:rPr>
                      <w:rFonts w:hAnsi="ＭＳ 明朝"/>
                    </w:rPr>
                    <w:t>71,311,600</w:t>
                  </w:r>
                  <w:r w:rsidRPr="00652B22">
                    <w:rPr>
                      <w:rFonts w:hAnsi="ＭＳ 明朝" w:hint="eastAsia"/>
                    </w:rPr>
                    <w:t>円</w:t>
                  </w:r>
                </w:p>
              </w:tc>
            </w:tr>
          </w:tbl>
          <w:p w:rsidR="00A7610F" w:rsidRPr="00614675" w:rsidRDefault="00A7610F" w:rsidP="00333CD5">
            <w:pPr>
              <w:autoSpaceDE w:val="0"/>
              <w:autoSpaceDN w:val="0"/>
              <w:snapToGrid w:val="0"/>
              <w:spacing w:line="300" w:lineRule="exact"/>
              <w:rPr>
                <w:rFonts w:hAnsi="ＭＳ 明朝" w:cs="Arial"/>
              </w:rPr>
            </w:pPr>
          </w:p>
        </w:tc>
        <w:tc>
          <w:tcPr>
            <w:tcW w:w="7540" w:type="dxa"/>
            <w:shd w:val="clear" w:color="auto" w:fill="auto"/>
          </w:tcPr>
          <w:p w:rsidR="00614675" w:rsidRDefault="00614675" w:rsidP="004D7741">
            <w:pPr>
              <w:autoSpaceDE w:val="0"/>
              <w:autoSpaceDN w:val="0"/>
              <w:spacing w:line="300" w:lineRule="exact"/>
              <w:rPr>
                <w:rFonts w:hAnsi="ＭＳ 明朝"/>
              </w:rPr>
            </w:pPr>
          </w:p>
          <w:p w:rsidR="00652B22" w:rsidRPr="009D7C0E" w:rsidRDefault="00652B22" w:rsidP="00333CD5">
            <w:pPr>
              <w:autoSpaceDE w:val="0"/>
              <w:autoSpaceDN w:val="0"/>
              <w:spacing w:line="300" w:lineRule="exact"/>
              <w:ind w:firstLineChars="100" w:firstLine="240"/>
              <w:rPr>
                <w:rFonts w:hAnsi="ＭＳ 明朝"/>
              </w:rPr>
            </w:pPr>
            <w:r w:rsidRPr="009D7C0E">
              <w:rPr>
                <w:rFonts w:hAnsi="ＭＳ 明朝" w:hint="eastAsia"/>
              </w:rPr>
              <w:t>保有資産の実態を公有財産台帳において適切に表すため、速やかに修正を実施されたい。</w:t>
            </w:r>
          </w:p>
          <w:p w:rsidR="00652B22" w:rsidRDefault="00652B22" w:rsidP="00333CD5">
            <w:pPr>
              <w:autoSpaceDE w:val="0"/>
              <w:autoSpaceDN w:val="0"/>
              <w:spacing w:line="300" w:lineRule="exact"/>
              <w:ind w:firstLineChars="86" w:firstLine="206"/>
              <w:rPr>
                <w:rFonts w:hAnsi="ＭＳ 明朝"/>
              </w:rPr>
            </w:pPr>
            <w:r w:rsidRPr="009D7C0E">
              <w:rPr>
                <w:rFonts w:hAnsi="ＭＳ 明朝" w:hint="eastAsia"/>
              </w:rPr>
              <w:t>また、固定資産計上基準等を正しく理解し、今後は適正な事務処理を行われたい。</w:t>
            </w:r>
          </w:p>
          <w:p w:rsidR="00652B22" w:rsidRPr="009D7C0E" w:rsidRDefault="00152961" w:rsidP="00333CD5">
            <w:pPr>
              <w:autoSpaceDE w:val="0"/>
              <w:autoSpaceDN w:val="0"/>
              <w:spacing w:line="300" w:lineRule="exact"/>
              <w:ind w:firstLineChars="86" w:firstLine="181"/>
              <w:rPr>
                <w:rFonts w:hAnsi="ＭＳ 明朝"/>
              </w:rPr>
            </w:pPr>
            <w:r>
              <w:rPr>
                <w:rFonts w:ascii="Century"/>
                <w:noProof/>
                <w:sz w:val="21"/>
              </w:rPr>
              <w:pict>
                <v:rect id="正方形/長方形 221" o:spid="_x0000_s1026" style="position:absolute;left:0;text-align:left;margin-left:6.1pt;margin-top:14.45pt;width:358.3pt;height:395.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" strokeweight=".5pt">
                  <v:stroke dashstyle="dash"/>
                  <v:textbox style="mso-next-textbox:#正方形/長方形 221">
                    <w:txbxContent>
                      <w:p w:rsidR="00652B22" w:rsidRPr="0029198B" w:rsidRDefault="00652B22" w:rsidP="00652B22">
                        <w:pPr>
                          <w:autoSpaceDE w:val="0"/>
                          <w:autoSpaceDN w:val="0"/>
                          <w:spacing w:line="240" w:lineRule="exact"/>
                          <w:rPr>
                            <w:rFonts w:hAnsi="ＭＳ 明朝"/>
                            <w:color w:val="000000"/>
                          </w:rPr>
                        </w:pPr>
                        <w:r w:rsidRPr="0029198B">
                          <w:rPr>
                            <w:rFonts w:hAnsi="ＭＳ 明朝" w:hint="eastAsia"/>
                            <w:color w:val="000000"/>
                          </w:rPr>
                          <w:t>【大阪府公有財産台帳等処理要領】</w:t>
                        </w:r>
                      </w:p>
                      <w:p w:rsidR="00652B22" w:rsidRPr="0029198B" w:rsidRDefault="00652B22" w:rsidP="00652B22">
                        <w:pPr>
                          <w:autoSpaceDE w:val="0"/>
                          <w:autoSpaceDN w:val="0"/>
                          <w:spacing w:line="240" w:lineRule="exact"/>
                          <w:rPr>
                            <w:rFonts w:hAnsi="ＭＳ 明朝"/>
                            <w:color w:val="000000"/>
                          </w:rPr>
                        </w:pPr>
                        <w:r w:rsidRPr="0029198B">
                          <w:rPr>
                            <w:rFonts w:hAnsi="ＭＳ 明朝" w:hint="eastAsia"/>
                            <w:color w:val="000000"/>
                          </w:rPr>
                          <w:t>別表４　固定資産計上基準表</w:t>
                        </w:r>
                      </w:p>
                      <w:p w:rsidR="00652B22" w:rsidRPr="0029198B" w:rsidRDefault="00652B22" w:rsidP="00652B22">
                        <w:pPr>
                          <w:autoSpaceDE w:val="0"/>
                          <w:autoSpaceDN w:val="0"/>
                          <w:spacing w:line="240" w:lineRule="exact"/>
                          <w:rPr>
                            <w:rFonts w:hAnsi="ＭＳ 明朝"/>
                            <w:color w:val="000000"/>
                          </w:rPr>
                        </w:pPr>
                        <w:r w:rsidRPr="0029198B">
                          <w:rPr>
                            <w:rFonts w:hAnsi="ＭＳ 明朝" w:hint="eastAsia"/>
                            <w:color w:val="000000"/>
                          </w:rPr>
                          <w:t>（固定資産計上の基本方針）</w:t>
                        </w:r>
                      </w:p>
                      <w:p w:rsidR="00652B22" w:rsidRPr="0029198B" w:rsidRDefault="00652B22" w:rsidP="00652B22">
                        <w:pPr>
                          <w:autoSpaceDE w:val="0"/>
                          <w:autoSpaceDN w:val="0"/>
                          <w:spacing w:line="240" w:lineRule="exact"/>
                          <w:ind w:left="240" w:hangingChars="100" w:hanging="240"/>
                          <w:rPr>
                            <w:rFonts w:hAnsi="ＭＳ 明朝"/>
                            <w:color w:val="000000"/>
                          </w:rPr>
                        </w:pPr>
                        <w:r w:rsidRPr="0029198B">
                          <w:rPr>
                            <w:rFonts w:hAnsi="ＭＳ 明朝" w:hint="eastAsia"/>
                            <w:color w:val="000000"/>
                          </w:rPr>
                          <w:t>１．取得時点での取引価格（購入代価等）だけではなく、その財産を取得するために要した付随的支出（詳細設計費など）も含めて資産として計上する。</w:t>
                        </w:r>
                      </w:p>
                      <w:p w:rsidR="00652B22" w:rsidRPr="0029198B" w:rsidRDefault="00652B22" w:rsidP="00652B22">
                        <w:pPr>
                          <w:autoSpaceDE w:val="0"/>
                          <w:autoSpaceDN w:val="0"/>
                          <w:spacing w:line="240" w:lineRule="exact"/>
                          <w:ind w:left="240" w:hangingChars="100" w:hanging="240"/>
                          <w:rPr>
                            <w:rFonts w:hAnsi="ＭＳ 明朝"/>
                            <w:color w:val="000000"/>
                          </w:rPr>
                        </w:pPr>
                        <w:r w:rsidRPr="0029198B">
                          <w:rPr>
                            <w:rFonts w:hAnsi="ＭＳ 明朝" w:hint="eastAsia"/>
                            <w:color w:val="000000"/>
                          </w:rPr>
                          <w:t>２．取得後に、当該資産の価値を高め、又はその耐久性を増すことに要した支出は資産として計上する。なお、この場合における付随的支出についても前項の規定を準用する。</w:t>
                        </w:r>
                      </w:p>
                      <w:p w:rsidR="00652B22" w:rsidRPr="0029198B" w:rsidRDefault="00652B22" w:rsidP="00652B22">
                        <w:pPr>
                          <w:autoSpaceDE w:val="0"/>
                          <w:autoSpaceDN w:val="0"/>
                          <w:spacing w:line="240" w:lineRule="exact"/>
                          <w:ind w:left="240" w:hangingChars="100" w:hanging="240"/>
                          <w:rPr>
                            <w:rFonts w:hAnsi="ＭＳ 明朝"/>
                            <w:strike/>
                            <w:color w:val="000000"/>
                          </w:rPr>
                        </w:pPr>
                      </w:p>
                      <w:p w:rsidR="00652B22" w:rsidRPr="0029198B" w:rsidRDefault="00652B22" w:rsidP="00652B22">
                        <w:pPr>
                          <w:autoSpaceDE w:val="0"/>
                          <w:autoSpaceDN w:val="0"/>
                          <w:spacing w:line="240" w:lineRule="exact"/>
                          <w:rPr>
                            <w:rFonts w:hAnsi="ＭＳ 明朝"/>
                          </w:rPr>
                        </w:pPr>
                        <w:r w:rsidRPr="0029198B">
                          <w:rPr>
                            <w:rFonts w:hAnsi="ＭＳ 明朝" w:hint="eastAsia"/>
                          </w:rPr>
                          <w:t>【建設仮勘定取扱要領】</w:t>
                        </w:r>
                      </w:p>
                      <w:p w:rsidR="00652B22" w:rsidRPr="0029198B" w:rsidRDefault="00652B22" w:rsidP="00652B22">
                        <w:pPr>
                          <w:autoSpaceDE w:val="0"/>
                          <w:autoSpaceDN w:val="0"/>
                          <w:spacing w:line="240" w:lineRule="exact"/>
                          <w:rPr>
                            <w:rFonts w:hAnsi="ＭＳ 明朝"/>
                          </w:rPr>
                        </w:pPr>
                        <w:r w:rsidRPr="0029198B">
                          <w:rPr>
                            <w:rFonts w:hAnsi="ＭＳ 明朝" w:hint="eastAsia"/>
                          </w:rPr>
                          <w:t>（建設仮勘定の計上）</w:t>
                        </w:r>
                      </w:p>
                      <w:p w:rsidR="00652B22" w:rsidRPr="0029198B" w:rsidRDefault="00652B22" w:rsidP="00652B22">
                        <w:pPr>
                          <w:autoSpaceDE w:val="0"/>
                          <w:autoSpaceDN w:val="0"/>
                          <w:spacing w:line="240" w:lineRule="exact"/>
                          <w:ind w:leftChars="100" w:left="480" w:hangingChars="100" w:hanging="240"/>
                          <w:rPr>
                            <w:rFonts w:hAnsi="ＭＳ 明朝"/>
                          </w:rPr>
                        </w:pPr>
                        <w:r w:rsidRPr="0029198B">
                          <w:rPr>
                            <w:rFonts w:hAnsi="ＭＳ 明朝" w:hint="eastAsia"/>
                          </w:rPr>
                          <w:t>第３条　建設仮勘定に計上する対象資産は、作成基準第15条第１号アに規定する有形固定資産（土地を除く。）、同条第２号アに規定する有形固定資産（土地を除く。）及び同条第６号に規定するソフトウェアとする。</w:t>
                        </w:r>
                      </w:p>
                      <w:p w:rsidR="00652B22" w:rsidRPr="0029198B" w:rsidRDefault="00652B22" w:rsidP="00652B22">
                        <w:pPr>
                          <w:autoSpaceDE w:val="0"/>
                          <w:autoSpaceDN w:val="0"/>
                          <w:spacing w:line="240" w:lineRule="exact"/>
                          <w:ind w:leftChars="100" w:left="480" w:hangingChars="100" w:hanging="240"/>
                          <w:rPr>
                            <w:rFonts w:hAnsi="ＭＳ 明朝"/>
                          </w:rPr>
                        </w:pPr>
                        <w:r w:rsidRPr="0029198B">
                          <w:rPr>
                            <w:rFonts w:hAnsi="ＭＳ 明朝" w:hint="eastAsia"/>
                          </w:rPr>
                          <w:t>２　建設仮勘定に計上する金額は、公有財産要領別表４「固定資産計上基準表」に基づき、取得に要する価額及び付随的支出を計上しなければならない。</w:t>
                        </w:r>
                      </w:p>
                      <w:p w:rsidR="00652B22" w:rsidRPr="0029198B" w:rsidRDefault="00652B22" w:rsidP="00652B22">
                        <w:pPr>
                          <w:autoSpaceDE w:val="0"/>
                          <w:autoSpaceDN w:val="0"/>
                          <w:spacing w:line="240" w:lineRule="exact"/>
                          <w:ind w:left="240" w:hangingChars="100" w:hanging="240"/>
                          <w:rPr>
                            <w:rFonts w:hAnsi="ＭＳ 明朝"/>
                            <w:strike/>
                            <w:color w:val="000000"/>
                          </w:rPr>
                        </w:pPr>
                      </w:p>
                      <w:p w:rsidR="00652B22" w:rsidRPr="0029198B" w:rsidRDefault="00652B22" w:rsidP="00652B22">
                        <w:pPr>
                          <w:autoSpaceDE w:val="0"/>
                          <w:autoSpaceDN w:val="0"/>
                          <w:spacing w:line="240" w:lineRule="exact"/>
                          <w:rPr>
                            <w:rFonts w:hAnsi="ＭＳ 明朝"/>
                          </w:rPr>
                        </w:pPr>
                        <w:r w:rsidRPr="0029198B">
                          <w:rPr>
                            <w:rFonts w:hAnsi="ＭＳ 明朝" w:hint="eastAsia"/>
                          </w:rPr>
                          <w:t>【大阪府財務諸表作成基準】</w:t>
                        </w:r>
                      </w:p>
                      <w:p w:rsidR="00652B22" w:rsidRPr="0029198B" w:rsidRDefault="00652B22" w:rsidP="00652B22">
                        <w:pPr>
                          <w:autoSpaceDE w:val="0"/>
                          <w:autoSpaceDN w:val="0"/>
                          <w:spacing w:line="240" w:lineRule="exact"/>
                          <w:rPr>
                            <w:rFonts w:hAnsi="ＭＳ 明朝"/>
                          </w:rPr>
                        </w:pPr>
                        <w:r w:rsidRPr="0029198B">
                          <w:rPr>
                            <w:rFonts w:hAnsi="ＭＳ 明朝" w:hint="eastAsia"/>
                          </w:rPr>
                          <w:t>（固定資産の分類及び計上）</w:t>
                        </w:r>
                      </w:p>
                      <w:p w:rsidR="00652B22" w:rsidRPr="0029198B" w:rsidRDefault="00652B22" w:rsidP="00652B22">
                        <w:pPr>
                          <w:autoSpaceDE w:val="0"/>
                          <w:autoSpaceDN w:val="0"/>
                          <w:spacing w:line="240" w:lineRule="exact"/>
                          <w:rPr>
                            <w:rFonts w:hAnsi="ＭＳ 明朝"/>
                          </w:rPr>
                        </w:pPr>
                        <w:r w:rsidRPr="0029198B">
                          <w:rPr>
                            <w:rFonts w:hAnsi="ＭＳ 明朝" w:hint="eastAsia"/>
                          </w:rPr>
                          <w:t xml:space="preserve">　第15条</w:t>
                        </w:r>
                      </w:p>
                      <w:p w:rsidR="00652B22" w:rsidRPr="0029198B" w:rsidRDefault="00652B22" w:rsidP="00652B22">
                        <w:pPr>
                          <w:autoSpaceDE w:val="0"/>
                          <w:autoSpaceDN w:val="0"/>
                          <w:spacing w:line="240" w:lineRule="exact"/>
                          <w:rPr>
                            <w:rFonts w:hAnsi="ＭＳ 明朝"/>
                          </w:rPr>
                        </w:pPr>
                        <w:r w:rsidRPr="0029198B">
                          <w:rPr>
                            <w:rFonts w:hAnsi="ＭＳ 明朝" w:hint="eastAsia"/>
                          </w:rPr>
                          <w:t xml:space="preserve">　　二　インフラ資産</w:t>
                        </w:r>
                      </w:p>
                      <w:p w:rsidR="00652B22" w:rsidRPr="0029198B" w:rsidRDefault="00652B22" w:rsidP="00652B22">
                        <w:pPr>
                          <w:autoSpaceDE w:val="0"/>
                          <w:autoSpaceDN w:val="0"/>
                          <w:spacing w:line="240" w:lineRule="exact"/>
                          <w:ind w:firstLineChars="300" w:firstLine="720"/>
                          <w:rPr>
                            <w:rFonts w:hAnsi="ＭＳ 明朝"/>
                          </w:rPr>
                        </w:pPr>
                        <w:r w:rsidRPr="0029198B">
                          <w:rPr>
                            <w:rFonts w:hAnsi="ＭＳ 明朝" w:hint="eastAsia"/>
                          </w:rPr>
                          <w:t>ア　有形固定資産</w:t>
                        </w:r>
                      </w:p>
                      <w:p w:rsidR="00652B22" w:rsidRPr="0029198B" w:rsidRDefault="00652B22" w:rsidP="00652B22">
                        <w:pPr>
                          <w:autoSpaceDE w:val="0"/>
                          <w:autoSpaceDN w:val="0"/>
                          <w:spacing w:line="240" w:lineRule="exact"/>
                          <w:ind w:leftChars="325" w:left="780" w:firstLineChars="65" w:firstLine="156"/>
                          <w:rPr>
                            <w:rFonts w:hAnsi="ＭＳ 明朝"/>
                          </w:rPr>
                        </w:pPr>
                        <w:r w:rsidRPr="0029198B">
                          <w:rPr>
                            <w:rFonts w:hAnsi="ＭＳ 明朝" w:hint="eastAsia"/>
                          </w:rPr>
                          <w:t>公有財産のうち、道路、河川、下水道、港湾、漁港、農道、ため池及びこれらと一体となって機能する資産を土地、建物又は工作物に分類し計上する。</w:t>
                        </w:r>
                      </w:p>
                      <w:p w:rsidR="00652B22" w:rsidRPr="0029198B" w:rsidRDefault="00652B22" w:rsidP="00652B22">
                        <w:pPr>
                          <w:autoSpaceDE w:val="0"/>
                          <w:autoSpaceDN w:val="0"/>
                          <w:spacing w:line="240" w:lineRule="exact"/>
                          <w:rPr>
                            <w:rFonts w:hAnsi="ＭＳ 明朝"/>
                          </w:rPr>
                        </w:pPr>
                        <w:r w:rsidRPr="0029198B">
                          <w:rPr>
                            <w:rFonts w:hAnsi="ＭＳ 明朝" w:hint="eastAsia"/>
                          </w:rPr>
                          <w:t xml:space="preserve">　　七　建設仮勘定</w:t>
                        </w:r>
                      </w:p>
                      <w:p w:rsidR="00652B22" w:rsidRPr="0029198B" w:rsidRDefault="00652B22" w:rsidP="00652B22">
                        <w:pPr>
                          <w:autoSpaceDE w:val="0"/>
                          <w:autoSpaceDN w:val="0"/>
                          <w:spacing w:line="240" w:lineRule="exact"/>
                          <w:ind w:left="480" w:hangingChars="200" w:hanging="480"/>
                          <w:rPr>
                            <w:rFonts w:hAnsi="ＭＳ 明朝"/>
                          </w:rPr>
                        </w:pPr>
                        <w:r w:rsidRPr="0029198B">
                          <w:rPr>
                            <w:rFonts w:hAnsi="ＭＳ 明朝" w:hint="eastAsia"/>
                          </w:rPr>
                          <w:t xml:space="preserve">　　　行政活動の用に供する固定資産を取得する場合における支出及びその付随的支出を、資産が完成するまでの間、一時的に計上する。</w:t>
                        </w:r>
                      </w:p>
                      <w:p w:rsidR="00652B22" w:rsidRPr="0029198B" w:rsidRDefault="00652B22" w:rsidP="00652B22">
                        <w:pPr>
                          <w:autoSpaceDE w:val="0"/>
                          <w:autoSpaceDN w:val="0"/>
                          <w:spacing w:line="240" w:lineRule="exact"/>
                          <w:ind w:left="240" w:hangingChars="100" w:hanging="240"/>
                          <w:rPr>
                            <w:rFonts w:hAnsi="ＭＳ 明朝"/>
                            <w:strike/>
                            <w:color w:val="000000"/>
                          </w:rPr>
                        </w:pPr>
                      </w:p>
                    </w:txbxContent>
                  </v:textbox>
                </v:rect>
              </w:pict>
            </w:r>
          </w:p>
          <w:p w:rsidR="00652B22" w:rsidRPr="009D7C0E" w:rsidRDefault="00652B22" w:rsidP="00333CD5">
            <w:pPr>
              <w:autoSpaceDE w:val="0"/>
              <w:autoSpaceDN w:val="0"/>
              <w:spacing w:line="300" w:lineRule="exact"/>
              <w:rPr>
                <w:rFonts w:hAnsi="ＭＳ 明朝"/>
              </w:rPr>
            </w:pPr>
          </w:p>
          <w:p w:rsidR="00652B22" w:rsidRPr="009D7C0E" w:rsidRDefault="00652B22" w:rsidP="00333CD5">
            <w:pPr>
              <w:autoSpaceDE w:val="0"/>
              <w:autoSpaceDN w:val="0"/>
              <w:spacing w:line="300" w:lineRule="exact"/>
              <w:rPr>
                <w:rFonts w:hAnsi="ＭＳ 明朝"/>
              </w:rPr>
            </w:pPr>
          </w:p>
          <w:p w:rsidR="00652B22" w:rsidRPr="009D7C0E" w:rsidRDefault="00652B22" w:rsidP="00333CD5">
            <w:pPr>
              <w:autoSpaceDE w:val="0"/>
              <w:autoSpaceDN w:val="0"/>
              <w:spacing w:line="300" w:lineRule="exact"/>
              <w:rPr>
                <w:rFonts w:hAnsi="ＭＳ 明朝"/>
              </w:rPr>
            </w:pPr>
          </w:p>
          <w:p w:rsidR="00652B22" w:rsidRPr="009D7C0E" w:rsidRDefault="00652B22" w:rsidP="00333CD5">
            <w:pPr>
              <w:autoSpaceDE w:val="0"/>
              <w:autoSpaceDN w:val="0"/>
              <w:spacing w:line="300" w:lineRule="exact"/>
              <w:rPr>
                <w:rFonts w:hAnsi="ＭＳ 明朝"/>
              </w:rPr>
            </w:pPr>
          </w:p>
          <w:p w:rsidR="006C3E58" w:rsidRPr="00652B22" w:rsidRDefault="006C3E58" w:rsidP="00880959">
            <w:pPr>
              <w:autoSpaceDE w:val="0"/>
              <w:autoSpaceDN w:val="0"/>
              <w:spacing w:line="300" w:lineRule="exact"/>
              <w:ind w:firstLineChars="100" w:firstLine="240"/>
              <w:rPr>
                <w:rFonts w:hAnsi="ＭＳ 明朝"/>
              </w:rPr>
            </w:pPr>
          </w:p>
        </w:tc>
        <w:tc>
          <w:tcPr>
            <w:tcW w:w="4535" w:type="dxa"/>
            <w:shd w:val="clear" w:color="auto" w:fill="auto"/>
          </w:tcPr>
          <w:p w:rsidR="00614675" w:rsidRDefault="00614675" w:rsidP="004D7741">
            <w:pPr>
              <w:widowControl/>
              <w:autoSpaceDE w:val="0"/>
              <w:autoSpaceDN w:val="0"/>
              <w:spacing w:line="300" w:lineRule="exact"/>
              <w:rPr>
                <w:rFonts w:hAnsi="ＭＳ 明朝"/>
              </w:rPr>
            </w:pPr>
          </w:p>
          <w:p w:rsidR="0058060C" w:rsidRDefault="0058060C" w:rsidP="00536986">
            <w:pPr>
              <w:widowControl/>
              <w:autoSpaceDE w:val="0"/>
              <w:autoSpaceDN w:val="0"/>
              <w:spacing w:line="300" w:lineRule="exact"/>
              <w:ind w:firstLineChars="100" w:firstLine="240"/>
              <w:rPr>
                <w:rFonts w:hAnsi="ＭＳ 明朝"/>
              </w:rPr>
            </w:pPr>
            <w:r>
              <w:rPr>
                <w:rFonts w:hAnsi="ＭＳ 明朝" w:hint="eastAsia"/>
              </w:rPr>
              <w:t>本工事は、令和３年７月に供用開始していることから、</w:t>
            </w:r>
            <w:r w:rsidR="00EA20A5">
              <w:rPr>
                <w:rFonts w:hAnsi="ＭＳ 明朝" w:hint="eastAsia"/>
              </w:rPr>
              <w:t>当年度（令和</w:t>
            </w:r>
            <w:r>
              <w:rPr>
                <w:rFonts w:hAnsi="ＭＳ 明朝" w:hint="eastAsia"/>
              </w:rPr>
              <w:t>３</w:t>
            </w:r>
            <w:r w:rsidR="00EA20A5">
              <w:rPr>
                <w:rFonts w:hAnsi="ＭＳ 明朝" w:hint="eastAsia"/>
              </w:rPr>
              <w:t>年度）の支出については、「維持補修費」を「インフラ建設仮勘定」への仕訳</w:t>
            </w:r>
            <w:r w:rsidR="00F0537D">
              <w:rPr>
                <w:rFonts w:hAnsi="ＭＳ 明朝" w:hint="eastAsia"/>
              </w:rPr>
              <w:t>修正</w:t>
            </w:r>
            <w:r w:rsidR="00EA20A5">
              <w:rPr>
                <w:rFonts w:hAnsi="ＭＳ 明朝" w:hint="eastAsia"/>
              </w:rPr>
              <w:t>の後、</w:t>
            </w:r>
            <w:r w:rsidR="008B67E3">
              <w:rPr>
                <w:rFonts w:hAnsi="ＭＳ 明朝" w:hint="eastAsia"/>
              </w:rPr>
              <w:t>精算を行い、</w:t>
            </w:r>
            <w:r w:rsidR="00EA20A5">
              <w:rPr>
                <w:rFonts w:hAnsi="ＭＳ 明朝" w:hint="eastAsia"/>
              </w:rPr>
              <w:t>「インフラ工作物」</w:t>
            </w:r>
            <w:r w:rsidR="008B67E3">
              <w:rPr>
                <w:rFonts w:hAnsi="ＭＳ 明朝" w:hint="eastAsia"/>
              </w:rPr>
              <w:t>として</w:t>
            </w:r>
            <w:r w:rsidR="0092516C">
              <w:rPr>
                <w:rFonts w:hAnsi="ＭＳ 明朝" w:hint="eastAsia"/>
              </w:rPr>
              <w:t>、</w:t>
            </w:r>
            <w:r w:rsidR="0092516C" w:rsidRPr="0092516C">
              <w:rPr>
                <w:rFonts w:hAnsi="ＭＳ 明朝" w:hint="eastAsia"/>
              </w:rPr>
              <w:t>財務諸表に資産計上</w:t>
            </w:r>
            <w:r w:rsidR="0092516C">
              <w:rPr>
                <w:rFonts w:hAnsi="ＭＳ 明朝" w:hint="eastAsia"/>
              </w:rPr>
              <w:t>及び</w:t>
            </w:r>
            <w:r w:rsidR="008B67E3">
              <w:rPr>
                <w:rFonts w:hAnsi="ＭＳ 明朝" w:hint="eastAsia"/>
              </w:rPr>
              <w:t>公有財産台帳</w:t>
            </w:r>
            <w:r w:rsidR="0092516C">
              <w:rPr>
                <w:rFonts w:hAnsi="ＭＳ 明朝" w:hint="eastAsia"/>
              </w:rPr>
              <w:t>に登載した</w:t>
            </w:r>
            <w:r>
              <w:rPr>
                <w:rFonts w:hAnsi="ＭＳ 明朝" w:hint="eastAsia"/>
              </w:rPr>
              <w:t>。</w:t>
            </w:r>
          </w:p>
          <w:p w:rsidR="004F7250" w:rsidRDefault="008B67E3" w:rsidP="00536986">
            <w:pPr>
              <w:widowControl/>
              <w:autoSpaceDE w:val="0"/>
              <w:autoSpaceDN w:val="0"/>
              <w:spacing w:line="300" w:lineRule="exact"/>
              <w:ind w:firstLineChars="100" w:firstLine="240"/>
              <w:rPr>
                <w:rFonts w:hAnsi="ＭＳ 明朝"/>
              </w:rPr>
            </w:pPr>
            <w:r>
              <w:rPr>
                <w:rFonts w:hAnsi="ＭＳ 明朝" w:hint="eastAsia"/>
              </w:rPr>
              <w:t>また、</w:t>
            </w:r>
            <w:r w:rsidR="00536986">
              <w:rPr>
                <w:rFonts w:hAnsi="ＭＳ 明朝" w:hint="eastAsia"/>
              </w:rPr>
              <w:t>過年度</w:t>
            </w:r>
            <w:r w:rsidR="00EA20A5">
              <w:rPr>
                <w:rFonts w:hAnsi="ＭＳ 明朝" w:hint="eastAsia"/>
              </w:rPr>
              <w:t>（</w:t>
            </w:r>
            <w:r w:rsidR="00EA20A5" w:rsidRPr="00EA20A5">
              <w:rPr>
                <w:rFonts w:hAnsi="ＭＳ 明朝" w:hint="eastAsia"/>
              </w:rPr>
              <w:t>令和元</w:t>
            </w:r>
            <w:r>
              <w:rPr>
                <w:rFonts w:hAnsi="ＭＳ 明朝" w:hint="eastAsia"/>
              </w:rPr>
              <w:t>・</w:t>
            </w:r>
            <w:r w:rsidR="0058060C">
              <w:rPr>
                <w:rFonts w:hAnsi="ＭＳ 明朝" w:hint="eastAsia"/>
              </w:rPr>
              <w:t>２</w:t>
            </w:r>
            <w:r w:rsidR="00EA20A5">
              <w:rPr>
                <w:rFonts w:hAnsi="ＭＳ 明朝" w:hint="eastAsia"/>
              </w:rPr>
              <w:t>年度）</w:t>
            </w:r>
            <w:r w:rsidR="004F7250">
              <w:rPr>
                <w:rFonts w:hAnsi="ＭＳ 明朝" w:hint="eastAsia"/>
              </w:rPr>
              <w:t>の</w:t>
            </w:r>
            <w:r w:rsidR="00E71C5E" w:rsidRPr="00E71C5E">
              <w:rPr>
                <w:rFonts w:hAnsi="ＭＳ 明朝" w:hint="eastAsia"/>
              </w:rPr>
              <w:t>支出について</w:t>
            </w:r>
            <w:r w:rsidR="00536986">
              <w:rPr>
                <w:rFonts w:hAnsi="ＭＳ 明朝" w:hint="eastAsia"/>
              </w:rPr>
              <w:t>は</w:t>
            </w:r>
            <w:r w:rsidR="00E71C5E" w:rsidRPr="00E71C5E">
              <w:rPr>
                <w:rFonts w:hAnsi="ＭＳ 明朝" w:hint="eastAsia"/>
              </w:rPr>
              <w:t>、</w:t>
            </w:r>
            <w:r w:rsidR="004F7250">
              <w:rPr>
                <w:rFonts w:hAnsi="ＭＳ 明朝" w:hint="eastAsia"/>
              </w:rPr>
              <w:t>過年度修正</w:t>
            </w:r>
            <w:r>
              <w:rPr>
                <w:rFonts w:hAnsi="ＭＳ 明朝" w:hint="eastAsia"/>
              </w:rPr>
              <w:t>を行い</w:t>
            </w:r>
            <w:r w:rsidR="00EA20A5">
              <w:rPr>
                <w:rFonts w:hAnsi="ＭＳ 明朝" w:hint="eastAsia"/>
              </w:rPr>
              <w:t>、</w:t>
            </w:r>
            <w:r>
              <w:rPr>
                <w:rFonts w:hAnsi="ＭＳ 明朝" w:hint="eastAsia"/>
              </w:rPr>
              <w:t>同様に</w:t>
            </w:r>
            <w:r w:rsidR="0092516C">
              <w:rPr>
                <w:rFonts w:hAnsi="ＭＳ 明朝" w:hint="eastAsia"/>
              </w:rPr>
              <w:t>財務諸表に資産計上及び</w:t>
            </w:r>
            <w:r>
              <w:rPr>
                <w:rFonts w:hAnsi="ＭＳ 明朝" w:hint="eastAsia"/>
              </w:rPr>
              <w:t>公有財産台帳</w:t>
            </w:r>
            <w:r w:rsidR="0092516C">
              <w:rPr>
                <w:rFonts w:hAnsi="ＭＳ 明朝" w:hint="eastAsia"/>
              </w:rPr>
              <w:t>に登載し</w:t>
            </w:r>
            <w:r w:rsidR="0058060C">
              <w:rPr>
                <w:rFonts w:hAnsi="ＭＳ 明朝" w:hint="eastAsia"/>
              </w:rPr>
              <w:t>た</w:t>
            </w:r>
            <w:r w:rsidR="004F7250">
              <w:rPr>
                <w:rFonts w:hAnsi="ＭＳ 明朝" w:hint="eastAsia"/>
              </w:rPr>
              <w:t>。</w:t>
            </w:r>
          </w:p>
          <w:p w:rsidR="00536986" w:rsidRDefault="004F7250" w:rsidP="008B67E3">
            <w:pPr>
              <w:widowControl/>
              <w:autoSpaceDE w:val="0"/>
              <w:autoSpaceDN w:val="0"/>
              <w:spacing w:line="300" w:lineRule="exact"/>
              <w:ind w:firstLineChars="100" w:firstLine="240"/>
              <w:rPr>
                <w:rFonts w:hAnsi="ＭＳ 明朝"/>
              </w:rPr>
            </w:pPr>
            <w:r w:rsidRPr="004F7250">
              <w:rPr>
                <w:rFonts w:hAnsi="ＭＳ 明朝" w:hint="eastAsia"/>
              </w:rPr>
              <w:t>今後は、</w:t>
            </w:r>
            <w:r w:rsidR="0058060C">
              <w:rPr>
                <w:rFonts w:hAnsi="ＭＳ 明朝" w:hint="eastAsia"/>
              </w:rPr>
              <w:t>「</w:t>
            </w:r>
            <w:r w:rsidRPr="004F7250">
              <w:rPr>
                <w:rFonts w:hAnsi="ＭＳ 明朝" w:hint="eastAsia"/>
              </w:rPr>
              <w:t>固定資産計上基準等</w:t>
            </w:r>
            <w:r w:rsidR="0058060C">
              <w:rPr>
                <w:rFonts w:hAnsi="ＭＳ 明朝" w:hint="eastAsia"/>
              </w:rPr>
              <w:t>」を正しく理解し、</w:t>
            </w:r>
            <w:r w:rsidRPr="004F7250">
              <w:rPr>
                <w:rFonts w:hAnsi="ＭＳ 明朝" w:hint="eastAsia"/>
              </w:rPr>
              <w:t>適正な事務処理を行う。</w:t>
            </w: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Pr="008B67E3"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Pr="00614675" w:rsidRDefault="00442195" w:rsidP="004D7741">
            <w:pPr>
              <w:widowControl/>
              <w:autoSpaceDE w:val="0"/>
              <w:autoSpaceDN w:val="0"/>
              <w:spacing w:line="300" w:lineRule="exact"/>
              <w:rPr>
                <w:rFonts w:hAnsi="ＭＳ 明朝"/>
              </w:rPr>
            </w:pPr>
          </w:p>
        </w:tc>
      </w:tr>
    </w:tbl>
    <w:p w:rsidR="00652B22" w:rsidRDefault="00652B22" w:rsidP="00652B22">
      <w:pPr>
        <w:spacing w:line="340" w:lineRule="exact"/>
        <w:jc w:val="left"/>
        <w:rPr>
          <w:rFonts w:ascii="ＭＳ ゴシック" w:eastAsia="ＭＳ ゴシック" w:hAnsi="ＭＳ ゴシック"/>
          <w:szCs w:val="22"/>
        </w:rPr>
      </w:pPr>
      <w:r w:rsidRPr="00652B22">
        <w:rPr>
          <w:rFonts w:ascii="ＭＳ ゴシック" w:eastAsia="ＭＳ ゴシック" w:hAnsi="ＭＳ ゴシック" w:hint="eastAsia"/>
          <w:szCs w:val="22"/>
        </w:rPr>
        <w:t>資産と費用の区分誤り</w:t>
      </w:r>
    </w:p>
    <w:p w:rsidR="006C20B1" w:rsidRPr="00D82F4E" w:rsidRDefault="006F48C7" w:rsidP="006F48C7">
      <w:pPr>
        <w:spacing w:line="340" w:lineRule="exact"/>
        <w:jc w:val="right"/>
        <w:rPr>
          <w:rFonts w:hAnsi="ＭＳ 明朝"/>
        </w:rPr>
      </w:pPr>
      <w:r w:rsidRPr="006F48C7">
        <w:rPr>
          <w:rFonts w:ascii="ＭＳ ゴシック" w:eastAsia="ＭＳ ゴシック" w:hAnsi="ＭＳ ゴシック" w:hint="eastAsia"/>
        </w:rPr>
        <w:t>監査（検査）実施年月日（委員：令和－年－月－日、事務局：令和３年10月13日）</w:t>
      </w:r>
    </w:p>
    <w:sectPr w:rsidR="006C20B1" w:rsidRPr="00D82F4E" w:rsidSect="00614675">
      <w:headerReference w:type="even" r:id="rId6"/>
      <w:headerReference w:type="default" r:id="rId7"/>
      <w:footerReference w:type="even" r:id="rId8"/>
      <w:footerReference w:type="default" r:id="rId9"/>
      <w:headerReference w:type="first" r:id="rId10"/>
      <w:footerReference w:type="first" r:id="rId11"/>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ACA" w:rsidRDefault="005E3ACA">
      <w:r>
        <w:separator/>
      </w:r>
    </w:p>
  </w:endnote>
  <w:endnote w:type="continuationSeparator" w:id="0">
    <w:p w:rsidR="005E3ACA" w:rsidRDefault="005E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961" w:rsidRDefault="0015296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961" w:rsidRDefault="0015296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961" w:rsidRDefault="001529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ACA" w:rsidRDefault="005E3ACA">
      <w:r>
        <w:separator/>
      </w:r>
    </w:p>
  </w:footnote>
  <w:footnote w:type="continuationSeparator" w:id="0">
    <w:p w:rsidR="005E3ACA" w:rsidRDefault="005E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961" w:rsidRDefault="001529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961" w:rsidRDefault="001529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961" w:rsidRDefault="001529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6"/>
  <w:displayHorizontalDrawingGridEvery w:val="0"/>
  <w:displayVerticalDrawingGridEvery w:val="2"/>
  <w:characterSpacingControl w:val="compressPunctuation"/>
  <w:hdrShapeDefaults>
    <o:shapedefaults v:ext="edit" spidmax="11265">
      <v:textbox inset="5.85pt,.7pt,5.85pt,.7pt"/>
      <o:colormenu v:ext="edit" fillcolor="none [194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623"/>
    <w:rsid w:val="00042FDC"/>
    <w:rsid w:val="000468EF"/>
    <w:rsid w:val="00050BCC"/>
    <w:rsid w:val="00054A08"/>
    <w:rsid w:val="00085EC0"/>
    <w:rsid w:val="00090541"/>
    <w:rsid w:val="00090F62"/>
    <w:rsid w:val="000A4624"/>
    <w:rsid w:val="000C433B"/>
    <w:rsid w:val="000D785D"/>
    <w:rsid w:val="0013558E"/>
    <w:rsid w:val="00152961"/>
    <w:rsid w:val="001630B2"/>
    <w:rsid w:val="00173492"/>
    <w:rsid w:val="0018241A"/>
    <w:rsid w:val="001906A6"/>
    <w:rsid w:val="00197B92"/>
    <w:rsid w:val="001C0E29"/>
    <w:rsid w:val="001C5792"/>
    <w:rsid w:val="001C75F7"/>
    <w:rsid w:val="001D2313"/>
    <w:rsid w:val="001F41A1"/>
    <w:rsid w:val="002265B5"/>
    <w:rsid w:val="002309F6"/>
    <w:rsid w:val="002452AF"/>
    <w:rsid w:val="002654F1"/>
    <w:rsid w:val="0029198B"/>
    <w:rsid w:val="002C3117"/>
    <w:rsid w:val="00303A6D"/>
    <w:rsid w:val="0030787E"/>
    <w:rsid w:val="003169D5"/>
    <w:rsid w:val="003234F1"/>
    <w:rsid w:val="0032402C"/>
    <w:rsid w:val="00331CE4"/>
    <w:rsid w:val="0033337B"/>
    <w:rsid w:val="00333CD5"/>
    <w:rsid w:val="00335BCA"/>
    <w:rsid w:val="003405C5"/>
    <w:rsid w:val="00342058"/>
    <w:rsid w:val="00361B7F"/>
    <w:rsid w:val="00376F64"/>
    <w:rsid w:val="003974BA"/>
    <w:rsid w:val="003C37FB"/>
    <w:rsid w:val="00425885"/>
    <w:rsid w:val="00442195"/>
    <w:rsid w:val="00446EDB"/>
    <w:rsid w:val="0046452E"/>
    <w:rsid w:val="004713A4"/>
    <w:rsid w:val="0049675E"/>
    <w:rsid w:val="004A632F"/>
    <w:rsid w:val="004D7741"/>
    <w:rsid w:val="004E6204"/>
    <w:rsid w:val="004F4A04"/>
    <w:rsid w:val="004F7250"/>
    <w:rsid w:val="00507CBA"/>
    <w:rsid w:val="00515B21"/>
    <w:rsid w:val="005203C3"/>
    <w:rsid w:val="005249BB"/>
    <w:rsid w:val="00536986"/>
    <w:rsid w:val="00542486"/>
    <w:rsid w:val="0055438C"/>
    <w:rsid w:val="0056466B"/>
    <w:rsid w:val="005667FF"/>
    <w:rsid w:val="005727C3"/>
    <w:rsid w:val="0058060C"/>
    <w:rsid w:val="00580F31"/>
    <w:rsid w:val="005A7357"/>
    <w:rsid w:val="005B7FFA"/>
    <w:rsid w:val="005E3ACA"/>
    <w:rsid w:val="005F77A2"/>
    <w:rsid w:val="00607259"/>
    <w:rsid w:val="00614675"/>
    <w:rsid w:val="00620214"/>
    <w:rsid w:val="0062481A"/>
    <w:rsid w:val="00652B22"/>
    <w:rsid w:val="00654366"/>
    <w:rsid w:val="00683F34"/>
    <w:rsid w:val="006C20B1"/>
    <w:rsid w:val="006C3E58"/>
    <w:rsid w:val="006D274A"/>
    <w:rsid w:val="006E4247"/>
    <w:rsid w:val="006F1898"/>
    <w:rsid w:val="006F48C7"/>
    <w:rsid w:val="006F69E3"/>
    <w:rsid w:val="00710947"/>
    <w:rsid w:val="007A5F99"/>
    <w:rsid w:val="008367CE"/>
    <w:rsid w:val="00880959"/>
    <w:rsid w:val="008B1203"/>
    <w:rsid w:val="008B67E3"/>
    <w:rsid w:val="008C6561"/>
    <w:rsid w:val="008E456F"/>
    <w:rsid w:val="009168D9"/>
    <w:rsid w:val="00917C77"/>
    <w:rsid w:val="0092516C"/>
    <w:rsid w:val="009A269E"/>
    <w:rsid w:val="009A5160"/>
    <w:rsid w:val="009B656A"/>
    <w:rsid w:val="009C25EC"/>
    <w:rsid w:val="009C582D"/>
    <w:rsid w:val="009D32BF"/>
    <w:rsid w:val="00A0336F"/>
    <w:rsid w:val="00A16E55"/>
    <w:rsid w:val="00A61C0E"/>
    <w:rsid w:val="00A63AD1"/>
    <w:rsid w:val="00A72AB7"/>
    <w:rsid w:val="00A7610F"/>
    <w:rsid w:val="00A94578"/>
    <w:rsid w:val="00AC06C6"/>
    <w:rsid w:val="00B33740"/>
    <w:rsid w:val="00B34563"/>
    <w:rsid w:val="00B8526F"/>
    <w:rsid w:val="00B97919"/>
    <w:rsid w:val="00BB6193"/>
    <w:rsid w:val="00BD70E6"/>
    <w:rsid w:val="00C1611C"/>
    <w:rsid w:val="00C22A3A"/>
    <w:rsid w:val="00C2704A"/>
    <w:rsid w:val="00C37034"/>
    <w:rsid w:val="00C5182C"/>
    <w:rsid w:val="00C51F32"/>
    <w:rsid w:val="00C5548D"/>
    <w:rsid w:val="00CA0E19"/>
    <w:rsid w:val="00D10478"/>
    <w:rsid w:val="00D261C9"/>
    <w:rsid w:val="00D60A83"/>
    <w:rsid w:val="00D660B8"/>
    <w:rsid w:val="00D82F4E"/>
    <w:rsid w:val="00DE47D6"/>
    <w:rsid w:val="00E03541"/>
    <w:rsid w:val="00E15935"/>
    <w:rsid w:val="00E334F2"/>
    <w:rsid w:val="00E52236"/>
    <w:rsid w:val="00E53C48"/>
    <w:rsid w:val="00E53D58"/>
    <w:rsid w:val="00E57F30"/>
    <w:rsid w:val="00E71C5E"/>
    <w:rsid w:val="00E8271E"/>
    <w:rsid w:val="00EA20A5"/>
    <w:rsid w:val="00EB61AA"/>
    <w:rsid w:val="00EE7C97"/>
    <w:rsid w:val="00EF76C4"/>
    <w:rsid w:val="00F0537D"/>
    <w:rsid w:val="00F42623"/>
    <w:rsid w:val="00F5471A"/>
    <w:rsid w:val="00F61AAB"/>
    <w:rsid w:val="00F704C2"/>
    <w:rsid w:val="00F95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colormenu v:ext="edit" fillcolor="none [1943]"/>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2023-05-10T06:10:00Z</dcterms:created>
  <dcterms:modified xsi:type="dcterms:W3CDTF">2023-05-10T06:10:00Z</dcterms:modified>
</cp:coreProperties>
</file>