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108"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6411"/>
        <w:gridCol w:w="9281"/>
        <w:gridCol w:w="2761"/>
      </w:tblGrid>
      <w:tr w:rsidR="00614675" w:rsidRPr="00D82F4E" w:rsidTr="000E20B7">
        <w:trPr>
          <w:trHeight w:val="674"/>
        </w:trPr>
        <w:tc>
          <w:tcPr>
            <w:tcW w:w="2143" w:type="dxa"/>
            <w:shd w:val="clear" w:color="auto" w:fill="auto"/>
            <w:vAlign w:val="center"/>
          </w:tcPr>
          <w:p w:rsidR="00614675" w:rsidRPr="00614675" w:rsidRDefault="00614675"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GoBack"/>
            <w:bookmarkEnd w:id="0"/>
            <w:r w:rsidRPr="00614675">
              <w:rPr>
                <w:rFonts w:ascii="ＭＳ Ｐゴシック" w:eastAsia="ＭＳ Ｐゴシック" w:hAnsi="ＭＳ Ｐゴシック" w:cs="Arial" w:hint="eastAsia"/>
                <w:color w:val="000000"/>
                <w:kern w:val="0"/>
              </w:rPr>
              <w:t>対象受検機関</w:t>
            </w:r>
          </w:p>
        </w:tc>
        <w:tc>
          <w:tcPr>
            <w:tcW w:w="6411" w:type="dxa"/>
            <w:shd w:val="clear" w:color="auto" w:fill="auto"/>
            <w:vAlign w:val="center"/>
          </w:tcPr>
          <w:p w:rsidR="00614675" w:rsidRPr="00614675" w:rsidRDefault="00614675"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9281" w:type="dxa"/>
            <w:shd w:val="clear" w:color="auto" w:fill="auto"/>
            <w:vAlign w:val="center"/>
          </w:tcPr>
          <w:p w:rsidR="00614675" w:rsidRPr="00614675" w:rsidRDefault="00614675"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c>
          <w:tcPr>
            <w:tcW w:w="2761" w:type="dxa"/>
            <w:shd w:val="clear" w:color="auto" w:fill="auto"/>
            <w:vAlign w:val="center"/>
          </w:tcPr>
          <w:p w:rsidR="00614675" w:rsidRPr="00614675" w:rsidRDefault="00614675" w:rsidP="004D7741">
            <w:pPr>
              <w:widowControl/>
              <w:autoSpaceDE w:val="0"/>
              <w:autoSpaceDN w:val="0"/>
              <w:spacing w:line="300" w:lineRule="exact"/>
              <w:jc w:val="center"/>
              <w:rPr>
                <w:rFonts w:ascii="ＭＳ Ｐゴシック" w:eastAsia="ＭＳ Ｐゴシック" w:hAnsi="ＭＳ Ｐゴシック"/>
              </w:rPr>
            </w:pPr>
            <w:r w:rsidRPr="00614675">
              <w:rPr>
                <w:rFonts w:ascii="ＭＳ Ｐゴシック" w:eastAsia="ＭＳ Ｐゴシック" w:hAnsi="ＭＳ Ｐゴシック" w:hint="eastAsia"/>
              </w:rPr>
              <w:t>措置の内容</w:t>
            </w:r>
          </w:p>
        </w:tc>
      </w:tr>
      <w:tr w:rsidR="002D72E5" w:rsidRPr="00D82F4E" w:rsidTr="000E20B7">
        <w:trPr>
          <w:trHeight w:val="5802"/>
        </w:trPr>
        <w:tc>
          <w:tcPr>
            <w:tcW w:w="2143" w:type="dxa"/>
            <w:shd w:val="clear" w:color="auto" w:fill="auto"/>
          </w:tcPr>
          <w:p w:rsidR="002D72E5" w:rsidRPr="009727D9" w:rsidRDefault="002D72E5" w:rsidP="002D72E5">
            <w:pPr>
              <w:autoSpaceDE w:val="0"/>
              <w:autoSpaceDN w:val="0"/>
              <w:spacing w:line="300" w:lineRule="exact"/>
              <w:rPr>
                <w:rFonts w:hAnsi="ＭＳ 明朝"/>
              </w:rPr>
            </w:pPr>
          </w:p>
          <w:p w:rsidR="002D72E5" w:rsidRPr="009727D9" w:rsidRDefault="002D72E5" w:rsidP="002D72E5">
            <w:pPr>
              <w:autoSpaceDE w:val="0"/>
              <w:autoSpaceDN w:val="0"/>
              <w:spacing w:line="300" w:lineRule="exact"/>
              <w:rPr>
                <w:rFonts w:hAnsi="ＭＳ 明朝"/>
              </w:rPr>
            </w:pPr>
            <w:r>
              <w:rPr>
                <w:rFonts w:hAnsi="ＭＳ 明朝" w:hint="eastAsia"/>
              </w:rPr>
              <w:t>西大阪治水事務所</w:t>
            </w:r>
          </w:p>
        </w:tc>
        <w:tc>
          <w:tcPr>
            <w:tcW w:w="6411" w:type="dxa"/>
            <w:shd w:val="clear" w:color="auto" w:fill="auto"/>
          </w:tcPr>
          <w:p w:rsidR="002D72E5" w:rsidRPr="009727D9" w:rsidRDefault="002D72E5" w:rsidP="002D72E5">
            <w:pPr>
              <w:autoSpaceDE w:val="0"/>
              <w:autoSpaceDN w:val="0"/>
              <w:spacing w:line="300" w:lineRule="exact"/>
              <w:ind w:firstLineChars="100" w:firstLine="240"/>
              <w:rPr>
                <w:rFonts w:hAnsi="ＭＳ 明朝" w:cs="Arial"/>
              </w:rPr>
            </w:pPr>
          </w:p>
          <w:p w:rsidR="002D72E5" w:rsidRDefault="002D72E5" w:rsidP="002D72E5">
            <w:pPr>
              <w:autoSpaceDE w:val="0"/>
              <w:autoSpaceDN w:val="0"/>
              <w:spacing w:line="300" w:lineRule="exact"/>
              <w:rPr>
                <w:rFonts w:hAnsi="ＭＳ 明朝"/>
              </w:rPr>
            </w:pPr>
            <w:r>
              <w:rPr>
                <w:rFonts w:hAnsi="ＭＳ 明朝" w:hint="eastAsia"/>
              </w:rPr>
              <w:t xml:space="preserve">　</w:t>
            </w:r>
            <w:r w:rsidRPr="00AF2B66">
              <w:rPr>
                <w:rFonts w:hAnsi="ＭＳ 明朝" w:hint="eastAsia"/>
              </w:rPr>
              <w:t>設計委託業務について、令和２年度中に当該設計に基づく工事が完了していないにもかかわらず、建設仮勘定が精算され、本資産勘定への振替が</w:t>
            </w:r>
            <w:r>
              <w:rPr>
                <w:rFonts w:hAnsi="ＭＳ 明朝" w:hint="eastAsia"/>
              </w:rPr>
              <w:t>行われていた</w:t>
            </w:r>
            <w:r w:rsidRPr="00AF2B66">
              <w:rPr>
                <w:rFonts w:hAnsi="ＭＳ 明朝" w:hint="eastAsia"/>
              </w:rPr>
              <w:t>。</w:t>
            </w:r>
          </w:p>
          <w:p w:rsidR="002D72E5" w:rsidRDefault="002D72E5" w:rsidP="002D72E5">
            <w:pPr>
              <w:autoSpaceDE w:val="0"/>
              <w:autoSpaceDN w:val="0"/>
              <w:spacing w:line="300" w:lineRule="exact"/>
              <w:rPr>
                <w:rFonts w:hAnsi="ＭＳ 明朝"/>
              </w:rPr>
            </w:pPr>
          </w:p>
          <w:tbl>
            <w:tblPr>
              <w:tblW w:w="6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307"/>
              <w:gridCol w:w="1463"/>
              <w:gridCol w:w="1463"/>
            </w:tblGrid>
            <w:tr w:rsidR="002D72E5" w:rsidTr="000E20B7">
              <w:trPr>
                <w:cantSplit/>
                <w:trHeight w:val="867"/>
              </w:trPr>
              <w:tc>
                <w:tcPr>
                  <w:tcW w:w="952" w:type="dxa"/>
                  <w:shd w:val="clear" w:color="auto" w:fill="auto"/>
                  <w:vAlign w:val="center"/>
                </w:tcPr>
                <w:p w:rsidR="002D72E5" w:rsidRPr="000F3256" w:rsidRDefault="002D72E5" w:rsidP="008104C8">
                  <w:pPr>
                    <w:framePr w:hSpace="142" w:wrap="around" w:vAnchor="text" w:hAnchor="margin" w:x="108" w:y="374"/>
                    <w:autoSpaceDE w:val="0"/>
                    <w:autoSpaceDN w:val="0"/>
                    <w:snapToGrid w:val="0"/>
                    <w:spacing w:line="300" w:lineRule="exact"/>
                    <w:ind w:leftChars="-67" w:left="-161"/>
                    <w:jc w:val="center"/>
                    <w:rPr>
                      <w:rFonts w:hAnsi="ＭＳ 明朝" w:cs="Arial"/>
                    </w:rPr>
                  </w:pPr>
                  <w:r w:rsidRPr="000F3256">
                    <w:rPr>
                      <w:rFonts w:hAnsi="ＭＳ 明朝" w:cs="Arial" w:hint="eastAsia"/>
                    </w:rPr>
                    <w:t>年度</w:t>
                  </w:r>
                </w:p>
              </w:tc>
              <w:tc>
                <w:tcPr>
                  <w:tcW w:w="2307" w:type="dxa"/>
                  <w:shd w:val="clear" w:color="auto" w:fill="auto"/>
                  <w:vAlign w:val="center"/>
                </w:tcPr>
                <w:p w:rsidR="002D72E5" w:rsidRPr="000F3256" w:rsidRDefault="002D72E5" w:rsidP="008104C8">
                  <w:pPr>
                    <w:framePr w:hSpace="142" w:wrap="around" w:vAnchor="text" w:hAnchor="margin" w:x="108" w:y="374"/>
                    <w:autoSpaceDE w:val="0"/>
                    <w:autoSpaceDN w:val="0"/>
                    <w:snapToGrid w:val="0"/>
                    <w:spacing w:line="300" w:lineRule="exact"/>
                    <w:ind w:leftChars="-67" w:left="-161"/>
                    <w:jc w:val="center"/>
                    <w:rPr>
                      <w:rFonts w:hAnsi="ＭＳ 明朝" w:cs="Arial"/>
                    </w:rPr>
                  </w:pPr>
                  <w:r w:rsidRPr="000F3256">
                    <w:rPr>
                      <w:rFonts w:hAnsi="ＭＳ 明朝" w:cs="Arial" w:hint="eastAsia"/>
                    </w:rPr>
                    <w:t>契約件名</w:t>
                  </w:r>
                </w:p>
              </w:tc>
              <w:tc>
                <w:tcPr>
                  <w:tcW w:w="1463" w:type="dxa"/>
                  <w:shd w:val="clear" w:color="auto" w:fill="auto"/>
                  <w:vAlign w:val="center"/>
                </w:tcPr>
                <w:p w:rsidR="002D72E5" w:rsidRPr="000F3256" w:rsidRDefault="002D72E5" w:rsidP="008104C8">
                  <w:pPr>
                    <w:framePr w:hSpace="142" w:wrap="around" w:vAnchor="text" w:hAnchor="margin" w:x="108" w:y="374"/>
                    <w:autoSpaceDE w:val="0"/>
                    <w:autoSpaceDN w:val="0"/>
                    <w:snapToGrid w:val="0"/>
                    <w:spacing w:line="300" w:lineRule="exact"/>
                    <w:ind w:leftChars="-67" w:left="-161"/>
                    <w:jc w:val="center"/>
                    <w:rPr>
                      <w:rFonts w:hAnsi="ＭＳ 明朝" w:cs="Arial"/>
                    </w:rPr>
                  </w:pPr>
                  <w:r w:rsidRPr="000F3256">
                    <w:rPr>
                      <w:rFonts w:hAnsi="ＭＳ 明朝" w:cs="Arial" w:hint="eastAsia"/>
                    </w:rPr>
                    <w:t>契約金額</w:t>
                  </w:r>
                </w:p>
              </w:tc>
              <w:tc>
                <w:tcPr>
                  <w:tcW w:w="1463" w:type="dxa"/>
                  <w:shd w:val="clear" w:color="auto" w:fill="auto"/>
                  <w:vAlign w:val="center"/>
                </w:tcPr>
                <w:p w:rsidR="002D72E5" w:rsidRDefault="002D72E5" w:rsidP="008104C8">
                  <w:pPr>
                    <w:framePr w:hSpace="142" w:wrap="around" w:vAnchor="text" w:hAnchor="margin" w:x="108" w:y="374"/>
                    <w:autoSpaceDE w:val="0"/>
                    <w:autoSpaceDN w:val="0"/>
                    <w:spacing w:line="300" w:lineRule="exact"/>
                    <w:jc w:val="center"/>
                  </w:pPr>
                  <w:r w:rsidRPr="009142C8">
                    <w:rPr>
                      <w:rFonts w:hint="eastAsia"/>
                    </w:rPr>
                    <w:t>本資産勘定</w:t>
                  </w:r>
                </w:p>
                <w:p w:rsidR="002D72E5" w:rsidRPr="000F3256" w:rsidRDefault="002D72E5" w:rsidP="008104C8">
                  <w:pPr>
                    <w:framePr w:hSpace="142" w:wrap="around" w:vAnchor="text" w:hAnchor="margin" w:x="108" w:y="374"/>
                    <w:autoSpaceDE w:val="0"/>
                    <w:autoSpaceDN w:val="0"/>
                    <w:snapToGrid w:val="0"/>
                    <w:spacing w:line="300" w:lineRule="exact"/>
                    <w:ind w:leftChars="-67" w:left="-161"/>
                    <w:jc w:val="center"/>
                    <w:rPr>
                      <w:rFonts w:hAnsi="ＭＳ 明朝" w:cs="Arial"/>
                    </w:rPr>
                  </w:pPr>
                  <w:r w:rsidRPr="009142C8">
                    <w:rPr>
                      <w:rFonts w:hint="eastAsia"/>
                    </w:rPr>
                    <w:t>への振替額</w:t>
                  </w:r>
                </w:p>
              </w:tc>
            </w:tr>
            <w:tr w:rsidR="002D72E5" w:rsidTr="000E20B7">
              <w:trPr>
                <w:cantSplit/>
                <w:trHeight w:val="1468"/>
              </w:trPr>
              <w:tc>
                <w:tcPr>
                  <w:tcW w:w="952" w:type="dxa"/>
                  <w:shd w:val="clear" w:color="auto" w:fill="auto"/>
                  <w:vAlign w:val="center"/>
                </w:tcPr>
                <w:p w:rsidR="002D72E5" w:rsidRPr="000F3256" w:rsidRDefault="002D72E5" w:rsidP="008104C8">
                  <w:pPr>
                    <w:framePr w:hSpace="142" w:wrap="around" w:vAnchor="text" w:hAnchor="margin" w:x="108" w:y="374"/>
                    <w:widowControl/>
                    <w:autoSpaceDE w:val="0"/>
                    <w:autoSpaceDN w:val="0"/>
                    <w:snapToGrid w:val="0"/>
                    <w:spacing w:line="300" w:lineRule="exact"/>
                    <w:jc w:val="center"/>
                    <w:rPr>
                      <w:rFonts w:hAnsi="ＭＳ 明朝"/>
                    </w:rPr>
                  </w:pPr>
                  <w:r w:rsidRPr="000F3256">
                    <w:rPr>
                      <w:rFonts w:hAnsi="ＭＳ 明朝" w:hint="eastAsia"/>
                    </w:rPr>
                    <w:t>令和２年度</w:t>
                  </w:r>
                </w:p>
              </w:tc>
              <w:tc>
                <w:tcPr>
                  <w:tcW w:w="2307" w:type="dxa"/>
                  <w:shd w:val="clear" w:color="auto" w:fill="auto"/>
                  <w:vAlign w:val="center"/>
                </w:tcPr>
                <w:p w:rsidR="002D72E5" w:rsidRPr="000F3256" w:rsidRDefault="002D72E5" w:rsidP="008104C8">
                  <w:pPr>
                    <w:framePr w:hSpace="142" w:wrap="around" w:vAnchor="text" w:hAnchor="margin" w:x="108" w:y="374"/>
                    <w:widowControl/>
                    <w:autoSpaceDE w:val="0"/>
                    <w:autoSpaceDN w:val="0"/>
                    <w:snapToGrid w:val="0"/>
                    <w:spacing w:line="300" w:lineRule="exact"/>
                    <w:rPr>
                      <w:rFonts w:hAnsi="ＭＳ 明朝"/>
                    </w:rPr>
                  </w:pPr>
                  <w:r w:rsidRPr="000F3256">
                    <w:rPr>
                      <w:rFonts w:hAnsi="ＭＳ 明朝" w:hint="eastAsia"/>
                    </w:rPr>
                    <w:t>一級河川大川（旧淀川）設計委託</w:t>
                  </w:r>
                </w:p>
                <w:p w:rsidR="002D72E5" w:rsidRPr="000F3256" w:rsidRDefault="002D72E5" w:rsidP="008104C8">
                  <w:pPr>
                    <w:framePr w:hSpace="142" w:wrap="around" w:vAnchor="text" w:hAnchor="margin" w:x="108" w:y="374"/>
                    <w:widowControl/>
                    <w:autoSpaceDE w:val="0"/>
                    <w:autoSpaceDN w:val="0"/>
                    <w:snapToGrid w:val="0"/>
                    <w:spacing w:line="300" w:lineRule="exact"/>
                    <w:jc w:val="left"/>
                    <w:rPr>
                      <w:rFonts w:hAnsi="ＭＳ 明朝"/>
                    </w:rPr>
                  </w:pPr>
                  <w:r w:rsidRPr="000F3256">
                    <w:rPr>
                      <w:rFonts w:hAnsi="ＭＳ 明朝" w:hint="eastAsia"/>
                    </w:rPr>
                    <w:t>（Ｒ２城北川合流点下流左岸）</w:t>
                  </w:r>
                </w:p>
              </w:tc>
              <w:tc>
                <w:tcPr>
                  <w:tcW w:w="1463" w:type="dxa"/>
                  <w:shd w:val="clear" w:color="auto" w:fill="auto"/>
                  <w:vAlign w:val="center"/>
                </w:tcPr>
                <w:p w:rsidR="002D72E5" w:rsidRPr="000F3256" w:rsidRDefault="002D72E5" w:rsidP="008104C8">
                  <w:pPr>
                    <w:framePr w:hSpace="142" w:wrap="around" w:vAnchor="text" w:hAnchor="margin" w:x="108" w:y="374"/>
                    <w:widowControl/>
                    <w:autoSpaceDE w:val="0"/>
                    <w:autoSpaceDN w:val="0"/>
                    <w:snapToGrid w:val="0"/>
                    <w:spacing w:line="300" w:lineRule="exact"/>
                    <w:ind w:leftChars="-67" w:left="-161"/>
                    <w:jc w:val="right"/>
                    <w:rPr>
                      <w:rFonts w:hAnsi="ＭＳ 明朝"/>
                    </w:rPr>
                  </w:pPr>
                  <w:r w:rsidRPr="000F3256">
                    <w:rPr>
                      <w:rFonts w:hAnsi="ＭＳ 明朝" w:hint="eastAsia"/>
                    </w:rPr>
                    <w:t>3,320,900円</w:t>
                  </w:r>
                </w:p>
              </w:tc>
              <w:tc>
                <w:tcPr>
                  <w:tcW w:w="1463" w:type="dxa"/>
                  <w:shd w:val="clear" w:color="auto" w:fill="auto"/>
                  <w:vAlign w:val="center"/>
                </w:tcPr>
                <w:p w:rsidR="002D72E5" w:rsidRPr="000F3256" w:rsidRDefault="002D72E5" w:rsidP="008104C8">
                  <w:pPr>
                    <w:framePr w:hSpace="142" w:wrap="around" w:vAnchor="text" w:hAnchor="margin" w:x="108" w:y="374"/>
                    <w:widowControl/>
                    <w:autoSpaceDE w:val="0"/>
                    <w:autoSpaceDN w:val="0"/>
                    <w:snapToGrid w:val="0"/>
                    <w:spacing w:line="300" w:lineRule="exact"/>
                    <w:ind w:leftChars="-67" w:left="-161"/>
                    <w:jc w:val="right"/>
                    <w:rPr>
                      <w:rFonts w:hAnsi="ＭＳ 明朝"/>
                    </w:rPr>
                  </w:pPr>
                  <w:r w:rsidRPr="000F3256">
                    <w:rPr>
                      <w:rFonts w:hAnsi="ＭＳ 明朝" w:hint="eastAsia"/>
                    </w:rPr>
                    <w:t>3,320,900円</w:t>
                  </w:r>
                </w:p>
              </w:tc>
            </w:tr>
          </w:tbl>
          <w:p w:rsidR="002D72E5" w:rsidRDefault="002D72E5" w:rsidP="002D72E5">
            <w:pPr>
              <w:autoSpaceDE w:val="0"/>
              <w:autoSpaceDN w:val="0"/>
              <w:spacing w:line="300" w:lineRule="exact"/>
              <w:rPr>
                <w:rFonts w:hAnsi="ＭＳ 明朝"/>
              </w:rPr>
            </w:pPr>
          </w:p>
          <w:p w:rsidR="002D72E5" w:rsidRDefault="002D72E5" w:rsidP="002D72E5">
            <w:pPr>
              <w:autoSpaceDE w:val="0"/>
              <w:autoSpaceDN w:val="0"/>
              <w:spacing w:line="300" w:lineRule="exact"/>
              <w:rPr>
                <w:rFonts w:hAnsi="ＭＳ 明朝"/>
              </w:rPr>
            </w:pPr>
          </w:p>
          <w:p w:rsidR="002D72E5" w:rsidRPr="009727D9" w:rsidRDefault="002D72E5" w:rsidP="002D72E5">
            <w:pPr>
              <w:autoSpaceDE w:val="0"/>
              <w:autoSpaceDN w:val="0"/>
              <w:spacing w:line="300" w:lineRule="exact"/>
              <w:rPr>
                <w:rFonts w:hAnsi="ＭＳ 明朝"/>
              </w:rPr>
            </w:pPr>
          </w:p>
        </w:tc>
        <w:tc>
          <w:tcPr>
            <w:tcW w:w="9281" w:type="dxa"/>
            <w:shd w:val="clear" w:color="auto" w:fill="auto"/>
          </w:tcPr>
          <w:p w:rsidR="002D72E5" w:rsidRPr="009727D9" w:rsidRDefault="002D72E5" w:rsidP="002D72E5">
            <w:pPr>
              <w:autoSpaceDE w:val="0"/>
              <w:autoSpaceDN w:val="0"/>
              <w:spacing w:line="300" w:lineRule="exact"/>
              <w:rPr>
                <w:rFonts w:hAnsi="ＭＳ 明朝"/>
              </w:rPr>
            </w:pPr>
          </w:p>
          <w:p w:rsidR="002D72E5" w:rsidRPr="00B520C6" w:rsidRDefault="002D72E5" w:rsidP="002D72E5">
            <w:pPr>
              <w:autoSpaceDE w:val="0"/>
              <w:autoSpaceDN w:val="0"/>
              <w:snapToGrid w:val="0"/>
              <w:spacing w:line="300" w:lineRule="exact"/>
              <w:ind w:firstLineChars="100" w:firstLine="240"/>
              <w:rPr>
                <w:rFonts w:hAnsi="ＭＳ 明朝" w:cs="Arial"/>
              </w:rPr>
            </w:pPr>
            <w:r w:rsidRPr="00B520C6">
              <w:rPr>
                <w:rFonts w:hAnsi="ＭＳ 明朝" w:cs="Arial" w:hint="eastAsia"/>
              </w:rPr>
              <w:t>当該</w:t>
            </w:r>
            <w:r>
              <w:rPr>
                <w:rFonts w:hAnsi="ＭＳ 明朝" w:cs="Arial" w:hint="eastAsia"/>
              </w:rPr>
              <w:t>誤精算について</w:t>
            </w:r>
            <w:r w:rsidRPr="00B520C6">
              <w:rPr>
                <w:rFonts w:hAnsi="ＭＳ 明朝" w:cs="Arial" w:hint="eastAsia"/>
              </w:rPr>
              <w:t>、</w:t>
            </w:r>
            <w:r>
              <w:rPr>
                <w:rFonts w:hAnsi="ＭＳ 明朝" w:cs="Arial" w:hint="eastAsia"/>
              </w:rPr>
              <w:t>建設仮勘定への訂正</w:t>
            </w:r>
            <w:r w:rsidRPr="00B520C6">
              <w:rPr>
                <w:rFonts w:hAnsi="ＭＳ 明朝" w:cs="Arial" w:hint="eastAsia"/>
              </w:rPr>
              <w:t>等の処理を速やかに実施されたい。</w:t>
            </w:r>
          </w:p>
          <w:p w:rsidR="002D72E5" w:rsidRDefault="002D72E5" w:rsidP="002D72E5">
            <w:pPr>
              <w:autoSpaceDE w:val="0"/>
              <w:autoSpaceDN w:val="0"/>
              <w:snapToGrid w:val="0"/>
              <w:spacing w:line="300" w:lineRule="exact"/>
              <w:rPr>
                <w:rFonts w:hAnsi="ＭＳ 明朝" w:cs="Arial"/>
              </w:rPr>
            </w:pPr>
            <w:r w:rsidRPr="00B520C6">
              <w:rPr>
                <w:rFonts w:hAnsi="ＭＳ 明朝" w:cs="Arial" w:hint="eastAsia"/>
              </w:rPr>
              <w:t xml:space="preserve">　また、建設仮勘定の精算処理等について正しく理解し、適正な事務処理を行われたい。</w:t>
            </w:r>
          </w:p>
          <w:p w:rsidR="002D72E5" w:rsidRPr="00C9757E" w:rsidRDefault="002D72E5" w:rsidP="002D72E5">
            <w:pPr>
              <w:autoSpaceDE w:val="0"/>
              <w:autoSpaceDN w:val="0"/>
              <w:spacing w:line="300" w:lineRule="exact"/>
              <w:rPr>
                <w:rFonts w:hAnsi="ＭＳ 明朝"/>
              </w:rPr>
            </w:pPr>
          </w:p>
          <w:p w:rsidR="002D72E5" w:rsidRPr="00C9757E" w:rsidRDefault="008104C8" w:rsidP="002D72E5">
            <w:pPr>
              <w:autoSpaceDE w:val="0"/>
              <w:autoSpaceDN w:val="0"/>
              <w:spacing w:line="300" w:lineRule="exact"/>
              <w:ind w:left="480" w:hangingChars="200" w:hanging="480"/>
              <w:rPr>
                <w:rFonts w:hAnsi="ＭＳ 明朝"/>
              </w:rPr>
            </w:pPr>
            <w:r>
              <w:rPr>
                <w:noProof/>
              </w:rPr>
              <w:pict>
                <v:rect id="正方形/長方形 3" o:spid="_x0000_s1027" style="position:absolute;left:0;text-align:left;margin-left:3.5pt;margin-top:2.55pt;width:450.55pt;height:443.4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" filled="f" strokeweight=".5pt">
                  <v:stroke dashstyle="dash"/>
                  <v:textbox style="mso-next-textbox:#正方形/長方形 3">
                    <w:txbxContent>
                      <w:p w:rsidR="002D72E5" w:rsidRPr="002D72E5" w:rsidRDefault="002D72E5" w:rsidP="002D72E5">
                        <w:pPr>
                          <w:spacing w:line="300" w:lineRule="exact"/>
                          <w:jc w:val="left"/>
                          <w:rPr>
                            <w:color w:val="000000"/>
                          </w:rPr>
                        </w:pPr>
                        <w:r w:rsidRPr="002D72E5">
                          <w:rPr>
                            <w:rFonts w:hint="eastAsia"/>
                            <w:color w:val="000000"/>
                          </w:rPr>
                          <w:t>【大阪府公有財産台帳等処理要領】</w:t>
                        </w:r>
                      </w:p>
                      <w:p w:rsidR="002D72E5" w:rsidRPr="002D72E5" w:rsidRDefault="002D72E5" w:rsidP="002D72E5">
                        <w:pPr>
                          <w:spacing w:line="300" w:lineRule="exact"/>
                          <w:jc w:val="left"/>
                          <w:rPr>
                            <w:color w:val="000000"/>
                          </w:rPr>
                        </w:pPr>
                        <w:r w:rsidRPr="002D72E5">
                          <w:rPr>
                            <w:rFonts w:hint="eastAsia"/>
                            <w:color w:val="000000"/>
                          </w:rPr>
                          <w:t>（台帳の異動登録）</w:t>
                        </w:r>
                      </w:p>
                      <w:p w:rsidR="002D72E5" w:rsidRPr="002D72E5" w:rsidRDefault="002D72E5" w:rsidP="002D72E5">
                        <w:pPr>
                          <w:spacing w:line="300" w:lineRule="exact"/>
                          <w:jc w:val="left"/>
                          <w:rPr>
                            <w:color w:val="000000"/>
                          </w:rPr>
                        </w:pPr>
                        <w:r w:rsidRPr="002D72E5">
                          <w:rPr>
                            <w:rFonts w:hint="eastAsia"/>
                            <w:color w:val="000000"/>
                          </w:rPr>
                          <w:t>第５条</w:t>
                        </w:r>
                      </w:p>
                      <w:p w:rsidR="002D72E5" w:rsidRPr="002D72E5" w:rsidRDefault="002D72E5" w:rsidP="002D72E5">
                        <w:pPr>
                          <w:spacing w:line="300" w:lineRule="exact"/>
                          <w:ind w:left="240" w:hangingChars="100" w:hanging="240"/>
                          <w:jc w:val="left"/>
                          <w:rPr>
                            <w:color w:val="000000"/>
                          </w:rPr>
                        </w:pPr>
                        <w:r w:rsidRPr="002D72E5">
                          <w:rPr>
                            <w:rFonts w:hint="eastAsia"/>
                            <w:color w:val="000000"/>
                          </w:rPr>
                          <w:t>２　異動した財産については、次の各号に掲げる日を異動年月日とする。また、第１号（府以外からの取得の場合に限る。）及び第３号の場合においては、併せて取得年月日を登録する。</w:t>
                        </w:r>
                      </w:p>
                      <w:p w:rsidR="002D72E5" w:rsidRPr="002D72E5" w:rsidRDefault="002D72E5" w:rsidP="002D72E5">
                        <w:pPr>
                          <w:spacing w:line="300" w:lineRule="exact"/>
                          <w:ind w:leftChars="100" w:left="360" w:hangingChars="50" w:hanging="120"/>
                          <w:jc w:val="left"/>
                          <w:rPr>
                            <w:color w:val="000000"/>
                          </w:rPr>
                        </w:pPr>
                        <w:r>
                          <w:rPr>
                            <w:rFonts w:hAnsi="ＭＳ 明朝" w:hint="eastAsia"/>
                            <w:color w:val="000000"/>
                          </w:rPr>
                          <w:t>(3)</w:t>
                        </w:r>
                        <w:r w:rsidRPr="002D72E5">
                          <w:rPr>
                            <w:rFonts w:hint="eastAsia"/>
                            <w:color w:val="000000"/>
                          </w:rPr>
                          <w:t>建物等の増改築等は、工事完了による引渡しの日。なお、土地を除くインフラ資産の増改築等は、供用開始日。</w:t>
                        </w:r>
                      </w:p>
                      <w:p w:rsidR="002D72E5" w:rsidRPr="002D72E5" w:rsidRDefault="002D72E5" w:rsidP="002D72E5">
                        <w:pPr>
                          <w:spacing w:line="300" w:lineRule="exact"/>
                          <w:ind w:leftChars="100" w:left="360" w:hangingChars="50" w:hanging="120"/>
                          <w:jc w:val="left"/>
                          <w:rPr>
                            <w:color w:val="000000"/>
                          </w:rPr>
                        </w:pPr>
                      </w:p>
                      <w:p w:rsidR="002D72E5" w:rsidRPr="002D72E5" w:rsidRDefault="002D72E5" w:rsidP="002D72E5">
                        <w:pPr>
                          <w:spacing w:line="300" w:lineRule="exact"/>
                          <w:jc w:val="left"/>
                          <w:rPr>
                            <w:color w:val="000000"/>
                          </w:rPr>
                        </w:pPr>
                        <w:r w:rsidRPr="002D72E5">
                          <w:rPr>
                            <w:rFonts w:hint="eastAsia"/>
                            <w:color w:val="000000"/>
                          </w:rPr>
                          <w:t>【建設仮勘定取扱要領】</w:t>
                        </w:r>
                      </w:p>
                      <w:p w:rsidR="002D72E5" w:rsidRPr="002D72E5" w:rsidRDefault="002D72E5" w:rsidP="002D72E5">
                        <w:pPr>
                          <w:spacing w:line="300" w:lineRule="exact"/>
                          <w:jc w:val="left"/>
                          <w:rPr>
                            <w:color w:val="000000"/>
                          </w:rPr>
                        </w:pPr>
                        <w:r w:rsidRPr="002D72E5">
                          <w:rPr>
                            <w:rFonts w:hint="eastAsia"/>
                            <w:color w:val="000000"/>
                          </w:rPr>
                          <w:t>（建設仮勘定の精算）</w:t>
                        </w:r>
                      </w:p>
                      <w:p w:rsidR="002D72E5" w:rsidRPr="002D72E5" w:rsidRDefault="002D72E5" w:rsidP="002D72E5">
                        <w:pPr>
                          <w:spacing w:line="300" w:lineRule="exact"/>
                          <w:ind w:left="240" w:hangingChars="100" w:hanging="240"/>
                          <w:jc w:val="left"/>
                          <w:rPr>
                            <w:color w:val="000000"/>
                          </w:rPr>
                        </w:pPr>
                        <w:r w:rsidRPr="002D72E5">
                          <w:rPr>
                            <w:rFonts w:hint="eastAsia"/>
                            <w:color w:val="000000"/>
                          </w:rPr>
                          <w:t>第４条　建設仮勘定は、公有財産要領第４条及び第５条に規定する取得年月日又は異動年月日をもって精算しなければならない。</w:t>
                        </w:r>
                      </w:p>
                      <w:p w:rsidR="002D72E5" w:rsidRPr="002D72E5" w:rsidRDefault="002D72E5" w:rsidP="002D72E5">
                        <w:pPr>
                          <w:spacing w:line="300" w:lineRule="exact"/>
                          <w:ind w:left="240" w:hangingChars="100" w:hanging="240"/>
                          <w:jc w:val="left"/>
                          <w:rPr>
                            <w:color w:val="000000"/>
                          </w:rPr>
                        </w:pPr>
                        <w:r w:rsidRPr="002D72E5">
                          <w:rPr>
                            <w:rFonts w:hint="eastAsia"/>
                            <w:color w:val="000000"/>
                          </w:rPr>
                          <w:t>２　前項に規定する精算と併せて、本資産勘定の額と同額の財産を公有財産台帳に登録しなければならない。</w:t>
                        </w:r>
                      </w:p>
                      <w:p w:rsidR="002D72E5" w:rsidRPr="002D72E5" w:rsidRDefault="002D72E5" w:rsidP="002D72E5">
                        <w:pPr>
                          <w:spacing w:line="300" w:lineRule="exact"/>
                          <w:jc w:val="left"/>
                          <w:rPr>
                            <w:color w:val="000000"/>
                          </w:rPr>
                        </w:pPr>
                      </w:p>
                      <w:p w:rsidR="002D72E5" w:rsidRPr="002D72E5" w:rsidRDefault="002D72E5" w:rsidP="002D72E5">
                        <w:pPr>
                          <w:spacing w:line="300" w:lineRule="exact"/>
                          <w:jc w:val="left"/>
                          <w:rPr>
                            <w:color w:val="000000"/>
                          </w:rPr>
                        </w:pPr>
                        <w:r w:rsidRPr="002D72E5">
                          <w:rPr>
                            <w:rFonts w:hint="eastAsia"/>
                            <w:color w:val="000000"/>
                          </w:rPr>
                          <w:t>【大阪府財務諸表作成基準】</w:t>
                        </w:r>
                      </w:p>
                      <w:p w:rsidR="002D72E5" w:rsidRPr="002D72E5" w:rsidRDefault="002D72E5" w:rsidP="002D72E5">
                        <w:pPr>
                          <w:spacing w:line="300" w:lineRule="exact"/>
                          <w:jc w:val="left"/>
                          <w:rPr>
                            <w:color w:val="000000"/>
                          </w:rPr>
                        </w:pPr>
                        <w:r w:rsidRPr="002D72E5">
                          <w:rPr>
                            <w:rFonts w:hint="eastAsia"/>
                            <w:color w:val="000000"/>
                          </w:rPr>
                          <w:t>（固定資産の分類及び計上）</w:t>
                        </w:r>
                      </w:p>
                      <w:p w:rsidR="002D72E5" w:rsidRPr="002D72E5" w:rsidRDefault="002D72E5" w:rsidP="002D72E5">
                        <w:pPr>
                          <w:spacing w:line="300" w:lineRule="exact"/>
                          <w:jc w:val="left"/>
                          <w:rPr>
                            <w:rFonts w:hAnsi="ＭＳ 明朝"/>
                            <w:color w:val="000000"/>
                          </w:rPr>
                        </w:pPr>
                        <w:r w:rsidRPr="002D72E5">
                          <w:rPr>
                            <w:rFonts w:hAnsi="ＭＳ 明朝" w:hint="eastAsia"/>
                            <w:color w:val="000000"/>
                          </w:rPr>
                          <w:t>第15条　固定資産の計上は次のとおりとする。</w:t>
                        </w:r>
                      </w:p>
                      <w:p w:rsidR="002D72E5" w:rsidRPr="002D72E5" w:rsidRDefault="002D72E5" w:rsidP="002D72E5">
                        <w:pPr>
                          <w:spacing w:line="300" w:lineRule="exact"/>
                          <w:ind w:firstLineChars="100" w:firstLine="240"/>
                          <w:jc w:val="left"/>
                          <w:rPr>
                            <w:rFonts w:hAnsi="ＭＳ 明朝"/>
                            <w:color w:val="000000"/>
                          </w:rPr>
                        </w:pPr>
                        <w:r w:rsidRPr="002D72E5">
                          <w:rPr>
                            <w:rFonts w:hAnsi="ＭＳ 明朝" w:hint="eastAsia"/>
                            <w:color w:val="000000"/>
                          </w:rPr>
                          <w:t>(7)建設仮勘定</w:t>
                        </w:r>
                      </w:p>
                      <w:p w:rsidR="002D72E5" w:rsidRPr="002D72E5" w:rsidRDefault="002D72E5" w:rsidP="002D72E5">
                        <w:pPr>
                          <w:spacing w:line="300" w:lineRule="exact"/>
                          <w:ind w:leftChars="150" w:left="360" w:firstLineChars="100" w:firstLine="240"/>
                          <w:jc w:val="left"/>
                          <w:rPr>
                            <w:rFonts w:hAnsi="ＭＳ 明朝"/>
                            <w:color w:val="000000"/>
                          </w:rPr>
                        </w:pPr>
                        <w:r w:rsidRPr="002D72E5">
                          <w:rPr>
                            <w:rFonts w:hAnsi="ＭＳ 明朝" w:hint="eastAsia"/>
                            <w:color w:val="000000"/>
                          </w:rPr>
                          <w:t>行政活動の用に供する固定資産を取得する場合における支出及びその付随的支出を、資産が完成するまでの間、一時的に計上する。</w:t>
                        </w:r>
                      </w:p>
                      <w:p w:rsidR="002D72E5" w:rsidRPr="002D72E5" w:rsidRDefault="002D72E5" w:rsidP="002D72E5">
                        <w:pPr>
                          <w:spacing w:line="300" w:lineRule="exact"/>
                          <w:jc w:val="left"/>
                          <w:rPr>
                            <w:color w:val="000000"/>
                          </w:rPr>
                        </w:pPr>
                      </w:p>
                      <w:p w:rsidR="002D72E5" w:rsidRPr="002D72E5" w:rsidRDefault="002D72E5" w:rsidP="002D72E5">
                        <w:pPr>
                          <w:spacing w:line="300" w:lineRule="exact"/>
                          <w:jc w:val="left"/>
                          <w:rPr>
                            <w:color w:val="000000"/>
                          </w:rPr>
                        </w:pPr>
                        <w:r w:rsidRPr="002D72E5">
                          <w:rPr>
                            <w:rFonts w:hint="eastAsia"/>
                            <w:color w:val="000000"/>
                          </w:rPr>
                          <w:t>【都市整備部固定資産計上基準】</w:t>
                        </w:r>
                      </w:p>
                      <w:p w:rsidR="002D72E5" w:rsidRPr="002D72E5" w:rsidRDefault="002D72E5" w:rsidP="002D72E5">
                        <w:pPr>
                          <w:spacing w:line="300" w:lineRule="exact"/>
                          <w:jc w:val="left"/>
                          <w:rPr>
                            <w:color w:val="000000"/>
                          </w:rPr>
                        </w:pPr>
                        <w:r w:rsidRPr="002D72E5">
                          <w:rPr>
                            <w:rFonts w:hint="eastAsia"/>
                            <w:color w:val="000000"/>
                          </w:rPr>
                          <w:t>河川砂防事業支出における固定資産計上基準</w:t>
                        </w:r>
                      </w:p>
                      <w:p w:rsidR="002D72E5" w:rsidRPr="002D72E5" w:rsidRDefault="002D72E5" w:rsidP="002D72E5">
                        <w:pPr>
                          <w:spacing w:line="300" w:lineRule="exact"/>
                          <w:ind w:firstLineChars="100" w:firstLine="240"/>
                          <w:jc w:val="left"/>
                          <w:rPr>
                            <w:color w:val="000000"/>
                          </w:rPr>
                        </w:pPr>
                        <w:r w:rsidRPr="002D72E5">
                          <w:rPr>
                            <w:rFonts w:hint="eastAsia"/>
                            <w:color w:val="000000"/>
                          </w:rPr>
                          <w:t>建設仮勘定の精算</w:t>
                        </w:r>
                      </w:p>
                      <w:p w:rsidR="002D72E5" w:rsidRPr="002D72E5" w:rsidRDefault="002D72E5" w:rsidP="002D72E5">
                        <w:pPr>
                          <w:spacing w:line="300" w:lineRule="exact"/>
                          <w:ind w:leftChars="100" w:left="240" w:firstLineChars="100" w:firstLine="240"/>
                          <w:jc w:val="left"/>
                          <w:rPr>
                            <w:color w:val="000000"/>
                          </w:rPr>
                        </w:pPr>
                        <w:r w:rsidRPr="002D72E5">
                          <w:rPr>
                            <w:rFonts w:hint="eastAsia"/>
                            <w:color w:val="000000"/>
                          </w:rPr>
                          <w:t>河川砂防事業においては明確な供用の概念がないため、建設仮勘定のインフラ資産への振替は、「施設の引渡し日」および「施設の機能開始日」のいずれかの遅い方の日付をもって行うこととする。</w:t>
                        </w:r>
                      </w:p>
                    </w:txbxContent>
                  </v:textbox>
                </v:rect>
              </w:pict>
            </w:r>
          </w:p>
          <w:p w:rsidR="002D72E5" w:rsidRPr="00C9757E" w:rsidRDefault="002D72E5" w:rsidP="002D72E5">
            <w:pPr>
              <w:autoSpaceDE w:val="0"/>
              <w:autoSpaceDN w:val="0"/>
              <w:spacing w:line="300" w:lineRule="exact"/>
              <w:ind w:left="480" w:hangingChars="200" w:hanging="480"/>
              <w:rPr>
                <w:rFonts w:hAnsi="ＭＳ 明朝"/>
              </w:rPr>
            </w:pPr>
          </w:p>
          <w:p w:rsidR="002D72E5" w:rsidRPr="00C9757E" w:rsidRDefault="002D72E5" w:rsidP="002D72E5">
            <w:pPr>
              <w:autoSpaceDE w:val="0"/>
              <w:autoSpaceDN w:val="0"/>
              <w:spacing w:line="300" w:lineRule="exact"/>
              <w:ind w:left="480" w:hangingChars="200" w:hanging="480"/>
              <w:rPr>
                <w:rFonts w:hAnsi="ＭＳ 明朝"/>
              </w:rPr>
            </w:pPr>
          </w:p>
          <w:p w:rsidR="002D72E5" w:rsidRPr="00C9757E" w:rsidRDefault="002D72E5" w:rsidP="002D72E5">
            <w:pPr>
              <w:autoSpaceDE w:val="0"/>
              <w:autoSpaceDN w:val="0"/>
              <w:spacing w:line="300" w:lineRule="exact"/>
              <w:ind w:left="480" w:hangingChars="200" w:hanging="480"/>
              <w:rPr>
                <w:rFonts w:hAnsi="ＭＳ 明朝"/>
              </w:rPr>
            </w:pPr>
          </w:p>
          <w:p w:rsidR="002D72E5" w:rsidRPr="00C9757E" w:rsidRDefault="002D72E5" w:rsidP="002D72E5">
            <w:pPr>
              <w:autoSpaceDE w:val="0"/>
              <w:autoSpaceDN w:val="0"/>
              <w:spacing w:line="300" w:lineRule="exact"/>
              <w:ind w:left="480" w:hangingChars="200" w:hanging="480"/>
              <w:rPr>
                <w:rFonts w:hAnsi="ＭＳ 明朝"/>
              </w:rPr>
            </w:pPr>
          </w:p>
          <w:p w:rsidR="002D72E5" w:rsidRPr="00C9757E" w:rsidRDefault="002D72E5" w:rsidP="002D72E5">
            <w:pPr>
              <w:autoSpaceDE w:val="0"/>
              <w:autoSpaceDN w:val="0"/>
              <w:spacing w:line="300" w:lineRule="exact"/>
              <w:ind w:left="480" w:hangingChars="200" w:hanging="480"/>
              <w:rPr>
                <w:rFonts w:hAnsi="ＭＳ 明朝"/>
              </w:rPr>
            </w:pPr>
          </w:p>
          <w:p w:rsidR="002D72E5" w:rsidRPr="00C9757E" w:rsidRDefault="002D72E5" w:rsidP="002D72E5">
            <w:pPr>
              <w:autoSpaceDE w:val="0"/>
              <w:autoSpaceDN w:val="0"/>
              <w:spacing w:line="300" w:lineRule="exact"/>
              <w:ind w:left="480" w:hangingChars="200" w:hanging="480"/>
              <w:rPr>
                <w:rFonts w:hAnsi="ＭＳ 明朝"/>
              </w:rPr>
            </w:pPr>
          </w:p>
          <w:p w:rsidR="002D72E5" w:rsidRPr="00C9757E" w:rsidRDefault="002D72E5" w:rsidP="002D72E5">
            <w:pPr>
              <w:autoSpaceDE w:val="0"/>
              <w:autoSpaceDN w:val="0"/>
              <w:spacing w:line="300" w:lineRule="exact"/>
              <w:ind w:left="480" w:hangingChars="200" w:hanging="480"/>
              <w:rPr>
                <w:rFonts w:hAnsi="ＭＳ 明朝"/>
              </w:rPr>
            </w:pPr>
          </w:p>
          <w:p w:rsidR="002D72E5" w:rsidRPr="00C9757E"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Default="002D72E5" w:rsidP="002D72E5">
            <w:pPr>
              <w:autoSpaceDE w:val="0"/>
              <w:autoSpaceDN w:val="0"/>
              <w:spacing w:line="300" w:lineRule="exact"/>
              <w:ind w:left="480" w:hangingChars="200" w:hanging="480"/>
              <w:rPr>
                <w:rFonts w:hAnsi="ＭＳ 明朝"/>
              </w:rPr>
            </w:pPr>
          </w:p>
          <w:p w:rsidR="002D72E5" w:rsidRPr="00614675" w:rsidRDefault="002D72E5" w:rsidP="002D72E5">
            <w:pPr>
              <w:autoSpaceDE w:val="0"/>
              <w:autoSpaceDN w:val="0"/>
              <w:spacing w:line="300" w:lineRule="exact"/>
              <w:rPr>
                <w:rFonts w:hAnsi="ＭＳ 明朝"/>
              </w:rPr>
            </w:pPr>
          </w:p>
        </w:tc>
        <w:tc>
          <w:tcPr>
            <w:tcW w:w="2761" w:type="dxa"/>
            <w:shd w:val="clear" w:color="auto" w:fill="auto"/>
          </w:tcPr>
          <w:p w:rsidR="002D72E5" w:rsidRDefault="002D72E5" w:rsidP="002D72E5">
            <w:pPr>
              <w:autoSpaceDE w:val="0"/>
              <w:autoSpaceDN w:val="0"/>
              <w:spacing w:line="300" w:lineRule="exact"/>
              <w:rPr>
                <w:rFonts w:hAnsi="ＭＳ 明朝"/>
              </w:rPr>
            </w:pPr>
          </w:p>
          <w:p w:rsidR="002D72E5" w:rsidRDefault="002D72E5" w:rsidP="002D72E5">
            <w:pPr>
              <w:autoSpaceDE w:val="0"/>
              <w:autoSpaceDN w:val="0"/>
              <w:spacing w:line="300" w:lineRule="exact"/>
              <w:ind w:firstLineChars="100" w:firstLine="240"/>
              <w:rPr>
                <w:rFonts w:hAnsi="ＭＳ 明朝"/>
              </w:rPr>
            </w:pPr>
            <w:r>
              <w:rPr>
                <w:rFonts w:hAnsi="ＭＳ 明朝" w:hint="eastAsia"/>
              </w:rPr>
              <w:t>公有財産台帳管理システム及び財務会計システムの複式情報修正を行い、建設仮勘定の是正処理を行った。</w:t>
            </w:r>
          </w:p>
          <w:p w:rsidR="002D72E5" w:rsidRDefault="002D72E5" w:rsidP="002D72E5">
            <w:pPr>
              <w:autoSpaceDE w:val="0"/>
              <w:autoSpaceDN w:val="0"/>
              <w:spacing w:line="300" w:lineRule="exact"/>
              <w:ind w:firstLineChars="100" w:firstLine="240"/>
              <w:rPr>
                <w:rFonts w:hAnsi="ＭＳ 明朝"/>
              </w:rPr>
            </w:pPr>
            <w:r>
              <w:rPr>
                <w:rFonts w:hAnsi="ＭＳ 明朝" w:hint="eastAsia"/>
              </w:rPr>
              <w:t>また、再発防止のため、２月の所内会議にて周知を行った。</w:t>
            </w:r>
          </w:p>
          <w:p w:rsidR="002D72E5" w:rsidRPr="006E616E" w:rsidRDefault="002D72E5" w:rsidP="002D72E5">
            <w:pPr>
              <w:autoSpaceDE w:val="0"/>
              <w:autoSpaceDN w:val="0"/>
              <w:spacing w:line="300" w:lineRule="exact"/>
              <w:ind w:firstLineChars="100" w:firstLine="240"/>
              <w:rPr>
                <w:rFonts w:hAnsi="ＭＳ 明朝"/>
              </w:rPr>
            </w:pPr>
            <w:r>
              <w:rPr>
                <w:rFonts w:hAnsi="ＭＳ 明朝" w:hint="eastAsia"/>
              </w:rPr>
              <w:t>今後は、建設仮勘定の</w:t>
            </w:r>
            <w:r w:rsidRPr="006E616E">
              <w:rPr>
                <w:rFonts w:hAnsi="ＭＳ 明朝" w:hint="eastAsia"/>
              </w:rPr>
              <w:t>精算処理等について正しく理解し、適正な事務処理を行</w:t>
            </w:r>
            <w:r>
              <w:rPr>
                <w:rFonts w:hAnsi="ＭＳ 明朝" w:hint="eastAsia"/>
              </w:rPr>
              <w:t>う</w:t>
            </w:r>
            <w:r w:rsidRPr="006E616E">
              <w:rPr>
                <w:rFonts w:hAnsi="ＭＳ 明朝" w:hint="eastAsia"/>
              </w:rPr>
              <w:t>。</w:t>
            </w:r>
          </w:p>
        </w:tc>
      </w:tr>
    </w:tbl>
    <w:p w:rsidR="002D72E5" w:rsidRPr="00B91987" w:rsidRDefault="002D72E5" w:rsidP="002D72E5">
      <w:pPr>
        <w:autoSpaceDE w:val="0"/>
        <w:autoSpaceDN w:val="0"/>
        <w:spacing w:line="300" w:lineRule="exact"/>
        <w:rPr>
          <w:rFonts w:ascii="ＭＳ ゴシック" w:eastAsia="ＭＳ ゴシック" w:hAnsi="ＭＳ ゴシック"/>
        </w:rPr>
      </w:pPr>
      <w:r w:rsidRPr="00AF2B66">
        <w:rPr>
          <w:rFonts w:ascii="ＭＳ ゴシック" w:eastAsia="ＭＳ ゴシック" w:hAnsi="ＭＳ ゴシック" w:hint="eastAsia"/>
        </w:rPr>
        <w:t>建設仮勘定の精算事務の不備</w:t>
      </w:r>
    </w:p>
    <w:p w:rsidR="006C20B1" w:rsidRPr="00D82F4E" w:rsidRDefault="002D72E5" w:rsidP="002D72E5">
      <w:pPr>
        <w:spacing w:line="340" w:lineRule="exact"/>
        <w:jc w:val="right"/>
        <w:rPr>
          <w:rFonts w:hAnsi="ＭＳ 明朝"/>
        </w:rPr>
      </w:pPr>
      <w:r w:rsidRPr="002D72E5">
        <w:rPr>
          <w:rFonts w:ascii="ＭＳ ゴシック" w:eastAsia="ＭＳ ゴシック" w:hAnsi="ＭＳ ゴシック" w:hint="eastAsia"/>
        </w:rPr>
        <w:t>監査（検査）実施年月日（委員：令和－年－月－日、事務局：令和３年11月１日から令和４年１月31日まで）</w:t>
      </w:r>
    </w:p>
    <w:sectPr w:rsidR="006C20B1" w:rsidRPr="00D82F4E" w:rsidSect="00614675">
      <w:headerReference w:type="even" r:id="rId6"/>
      <w:headerReference w:type="default" r:id="rId7"/>
      <w:footerReference w:type="even" r:id="rId8"/>
      <w:footerReference w:type="default" r:id="rId9"/>
      <w:headerReference w:type="first" r:id="rId10"/>
      <w:footerReference w:type="first" r:id="rId11"/>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CB0" w:rsidRDefault="00457CB0">
      <w:r>
        <w:separator/>
      </w:r>
    </w:p>
  </w:endnote>
  <w:endnote w:type="continuationSeparator" w:id="0">
    <w:p w:rsidR="00457CB0" w:rsidRDefault="0045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4C8" w:rsidRDefault="008104C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4C8" w:rsidRDefault="008104C8">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4C8" w:rsidRDefault="008104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CB0" w:rsidRDefault="00457CB0">
      <w:r>
        <w:separator/>
      </w:r>
    </w:p>
  </w:footnote>
  <w:footnote w:type="continuationSeparator" w:id="0">
    <w:p w:rsidR="00457CB0" w:rsidRDefault="00457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4C8" w:rsidRDefault="008104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4C8" w:rsidRDefault="008104C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4C8" w:rsidRDefault="008104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623"/>
    <w:rsid w:val="00042FDC"/>
    <w:rsid w:val="00050BCC"/>
    <w:rsid w:val="00054A08"/>
    <w:rsid w:val="00085C69"/>
    <w:rsid w:val="00085EC0"/>
    <w:rsid w:val="00090541"/>
    <w:rsid w:val="00090F62"/>
    <w:rsid w:val="000A4624"/>
    <w:rsid w:val="000B69FC"/>
    <w:rsid w:val="000C433B"/>
    <w:rsid w:val="000D785D"/>
    <w:rsid w:val="000E20B7"/>
    <w:rsid w:val="000F3256"/>
    <w:rsid w:val="0013558E"/>
    <w:rsid w:val="00173492"/>
    <w:rsid w:val="0018241A"/>
    <w:rsid w:val="001906A6"/>
    <w:rsid w:val="00197B92"/>
    <w:rsid w:val="001C0E29"/>
    <w:rsid w:val="001C75F7"/>
    <w:rsid w:val="001D2313"/>
    <w:rsid w:val="001F41A1"/>
    <w:rsid w:val="002265B5"/>
    <w:rsid w:val="002309F6"/>
    <w:rsid w:val="002452AF"/>
    <w:rsid w:val="00253854"/>
    <w:rsid w:val="002654F1"/>
    <w:rsid w:val="002C3117"/>
    <w:rsid w:val="002D72E5"/>
    <w:rsid w:val="00303A6D"/>
    <w:rsid w:val="0030787E"/>
    <w:rsid w:val="003169D5"/>
    <w:rsid w:val="003234F1"/>
    <w:rsid w:val="0032402C"/>
    <w:rsid w:val="00331CE4"/>
    <w:rsid w:val="0033337B"/>
    <w:rsid w:val="00335BCA"/>
    <w:rsid w:val="00342058"/>
    <w:rsid w:val="00361B7F"/>
    <w:rsid w:val="003974BA"/>
    <w:rsid w:val="003C37FB"/>
    <w:rsid w:val="00425885"/>
    <w:rsid w:val="00442195"/>
    <w:rsid w:val="00446EDB"/>
    <w:rsid w:val="00457CB0"/>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7FFA"/>
    <w:rsid w:val="005C4655"/>
    <w:rsid w:val="005F77A2"/>
    <w:rsid w:val="00607259"/>
    <w:rsid w:val="00614675"/>
    <w:rsid w:val="00620214"/>
    <w:rsid w:val="0062481A"/>
    <w:rsid w:val="00654366"/>
    <w:rsid w:val="00683F34"/>
    <w:rsid w:val="006C20B1"/>
    <w:rsid w:val="006C3E58"/>
    <w:rsid w:val="006D274A"/>
    <w:rsid w:val="006E4247"/>
    <w:rsid w:val="006F1898"/>
    <w:rsid w:val="006F69E3"/>
    <w:rsid w:val="00710947"/>
    <w:rsid w:val="00780583"/>
    <w:rsid w:val="007A5F99"/>
    <w:rsid w:val="008104C8"/>
    <w:rsid w:val="008367CE"/>
    <w:rsid w:val="008B1203"/>
    <w:rsid w:val="008C6561"/>
    <w:rsid w:val="008E456F"/>
    <w:rsid w:val="009168D9"/>
    <w:rsid w:val="009A269E"/>
    <w:rsid w:val="009A5160"/>
    <w:rsid w:val="009B656A"/>
    <w:rsid w:val="009C25EC"/>
    <w:rsid w:val="009C582D"/>
    <w:rsid w:val="009D32BF"/>
    <w:rsid w:val="00A0336F"/>
    <w:rsid w:val="00A16E55"/>
    <w:rsid w:val="00A61C0E"/>
    <w:rsid w:val="00A63AD1"/>
    <w:rsid w:val="00A72AB7"/>
    <w:rsid w:val="00AC06C6"/>
    <w:rsid w:val="00AD4BF2"/>
    <w:rsid w:val="00B33740"/>
    <w:rsid w:val="00B34563"/>
    <w:rsid w:val="00B6116D"/>
    <w:rsid w:val="00B8526F"/>
    <w:rsid w:val="00B97919"/>
    <w:rsid w:val="00BB6193"/>
    <w:rsid w:val="00BD70E6"/>
    <w:rsid w:val="00C1611C"/>
    <w:rsid w:val="00C22A3A"/>
    <w:rsid w:val="00C2704A"/>
    <w:rsid w:val="00C37034"/>
    <w:rsid w:val="00C5182C"/>
    <w:rsid w:val="00C51F32"/>
    <w:rsid w:val="00C5548D"/>
    <w:rsid w:val="00CA0E19"/>
    <w:rsid w:val="00D261C9"/>
    <w:rsid w:val="00D60A83"/>
    <w:rsid w:val="00D660B8"/>
    <w:rsid w:val="00D82F4E"/>
    <w:rsid w:val="00DA1E60"/>
    <w:rsid w:val="00DE47D6"/>
    <w:rsid w:val="00E03541"/>
    <w:rsid w:val="00E15935"/>
    <w:rsid w:val="00E334F2"/>
    <w:rsid w:val="00E52236"/>
    <w:rsid w:val="00E53C48"/>
    <w:rsid w:val="00E53D58"/>
    <w:rsid w:val="00E57F30"/>
    <w:rsid w:val="00E8271E"/>
    <w:rsid w:val="00EE7C97"/>
    <w:rsid w:val="00EF76C4"/>
    <w:rsid w:val="00F42623"/>
    <w:rsid w:val="00F5471A"/>
    <w:rsid w:val="00F704C2"/>
    <w:rsid w:val="00F95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rsid w:val="002D72E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2023-05-10T06:08:00Z</dcterms:created>
  <dcterms:modified xsi:type="dcterms:W3CDTF">2023-05-10T06:09:00Z</dcterms:modified>
</cp:coreProperties>
</file>