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0B1" w:rsidRPr="00916DFF" w:rsidRDefault="00916DFF" w:rsidP="00916DFF">
      <w:pPr>
        <w:autoSpaceDE w:val="0"/>
        <w:autoSpaceDN w:val="0"/>
        <w:spacing w:line="300" w:lineRule="exact"/>
        <w:rPr>
          <w:rFonts w:ascii="ＭＳ ゴシック" w:eastAsia="ＭＳ ゴシック" w:hAnsi="ＭＳ ゴシック" w:hint="eastAsia"/>
          <w:b/>
        </w:rPr>
      </w:pPr>
      <w:bookmarkStart w:id="0" w:name="_GoBack"/>
      <w:bookmarkEnd w:id="0"/>
      <w:r w:rsidRPr="00863251">
        <w:rPr>
          <w:rFonts w:ascii="ＭＳ ゴシック" w:eastAsia="ＭＳ ゴシック" w:hAnsi="ＭＳ ゴシック" w:hint="eastAsia"/>
        </w:rPr>
        <w:t>収入未済調定繰越手続の不備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5999"/>
        <w:gridCol w:w="5989"/>
        <w:gridCol w:w="5989"/>
      </w:tblGrid>
      <w:tr w:rsidR="00614675" w:rsidRPr="00D82F4E" w:rsidTr="00916DFF">
        <w:trPr>
          <w:trHeight w:val="674"/>
        </w:trPr>
        <w:tc>
          <w:tcPr>
            <w:tcW w:w="2518" w:type="dxa"/>
            <w:shd w:val="clear" w:color="auto" w:fill="auto"/>
            <w:vAlign w:val="center"/>
          </w:tcPr>
          <w:p w:rsidR="00614675" w:rsidRPr="00614675" w:rsidRDefault="00614675" w:rsidP="00916DFF">
            <w:pPr>
              <w:widowControl/>
              <w:autoSpaceDE w:val="0"/>
              <w:autoSpaceDN w:val="0"/>
              <w:spacing w:line="300" w:lineRule="exact"/>
              <w:jc w:val="center"/>
              <w:rPr>
                <w:rFonts w:ascii="ＭＳ Ｐゴシック" w:eastAsia="ＭＳ Ｐゴシック" w:hAnsi="ＭＳ Ｐゴシック" w:cs="Arial" w:hint="eastAsia"/>
                <w:color w:val="000000"/>
                <w:kern w:val="0"/>
              </w:rPr>
            </w:pPr>
            <w:r w:rsidRPr="00614675">
              <w:rPr>
                <w:rFonts w:ascii="ＭＳ Ｐゴシック" w:eastAsia="ＭＳ Ｐゴシック" w:hAnsi="ＭＳ Ｐゴシック" w:cs="Arial" w:hint="eastAsia"/>
                <w:color w:val="000000"/>
                <w:kern w:val="0"/>
              </w:rPr>
              <w:t>対象受検機関</w:t>
            </w:r>
          </w:p>
        </w:tc>
        <w:tc>
          <w:tcPr>
            <w:tcW w:w="6027" w:type="dxa"/>
            <w:shd w:val="clear" w:color="auto" w:fill="auto"/>
            <w:vAlign w:val="center"/>
          </w:tcPr>
          <w:p w:rsidR="00614675" w:rsidRPr="00614675" w:rsidRDefault="00614675" w:rsidP="00916DFF">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cs="Arial" w:hint="eastAsia"/>
                <w:color w:val="000000"/>
                <w:kern w:val="0"/>
              </w:rPr>
              <w:t>検出事項</w:t>
            </w:r>
          </w:p>
        </w:tc>
        <w:tc>
          <w:tcPr>
            <w:tcW w:w="6027" w:type="dxa"/>
            <w:shd w:val="clear" w:color="auto" w:fill="auto"/>
            <w:vAlign w:val="center"/>
          </w:tcPr>
          <w:p w:rsidR="00614675" w:rsidRPr="00614675" w:rsidRDefault="00614675" w:rsidP="00916DFF">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hint="eastAsia"/>
              </w:rPr>
              <w:t>是正を求める事項</w:t>
            </w:r>
          </w:p>
        </w:tc>
        <w:tc>
          <w:tcPr>
            <w:tcW w:w="6027" w:type="dxa"/>
            <w:shd w:val="clear" w:color="auto" w:fill="auto"/>
            <w:vAlign w:val="center"/>
          </w:tcPr>
          <w:p w:rsidR="00614675" w:rsidRPr="00614675" w:rsidRDefault="00614675" w:rsidP="00916DFF">
            <w:pPr>
              <w:widowControl/>
              <w:autoSpaceDE w:val="0"/>
              <w:autoSpaceDN w:val="0"/>
              <w:spacing w:line="300" w:lineRule="exact"/>
              <w:jc w:val="center"/>
              <w:rPr>
                <w:rFonts w:ascii="ＭＳ Ｐゴシック" w:eastAsia="ＭＳ Ｐゴシック" w:hAnsi="ＭＳ Ｐゴシック" w:hint="eastAsia"/>
              </w:rPr>
            </w:pPr>
            <w:r w:rsidRPr="00614675">
              <w:rPr>
                <w:rFonts w:ascii="ＭＳ Ｐゴシック" w:eastAsia="ＭＳ Ｐゴシック" w:hAnsi="ＭＳ Ｐゴシック" w:hint="eastAsia"/>
              </w:rPr>
              <w:t>措置の内容</w:t>
            </w:r>
          </w:p>
        </w:tc>
      </w:tr>
      <w:tr w:rsidR="00614675" w:rsidRPr="00D82F4E" w:rsidTr="00916DFF">
        <w:trPr>
          <w:trHeight w:val="5802"/>
        </w:trPr>
        <w:tc>
          <w:tcPr>
            <w:tcW w:w="2518" w:type="dxa"/>
            <w:shd w:val="clear" w:color="auto" w:fill="auto"/>
          </w:tcPr>
          <w:p w:rsidR="006C3E58" w:rsidRDefault="006C3E58" w:rsidP="00916DFF">
            <w:pPr>
              <w:autoSpaceDE w:val="0"/>
              <w:autoSpaceDN w:val="0"/>
              <w:spacing w:line="300" w:lineRule="exact"/>
              <w:rPr>
                <w:rFonts w:hAnsi="ＭＳ 明朝"/>
              </w:rPr>
            </w:pPr>
          </w:p>
          <w:p w:rsidR="00614675" w:rsidRPr="00614675" w:rsidRDefault="00092AA0" w:rsidP="00916DFF">
            <w:pPr>
              <w:autoSpaceDE w:val="0"/>
              <w:autoSpaceDN w:val="0"/>
              <w:snapToGrid w:val="0"/>
              <w:spacing w:line="300" w:lineRule="exact"/>
              <w:rPr>
                <w:rFonts w:hAnsi="ＭＳ 明朝"/>
              </w:rPr>
            </w:pPr>
            <w:r>
              <w:rPr>
                <w:rFonts w:hAnsi="ＭＳ 明朝" w:hint="eastAsia"/>
              </w:rPr>
              <w:t>八尾土木事務所</w:t>
            </w:r>
          </w:p>
          <w:p w:rsidR="00614675" w:rsidRPr="00614675" w:rsidRDefault="00614675" w:rsidP="00916DFF">
            <w:pPr>
              <w:autoSpaceDE w:val="0"/>
              <w:autoSpaceDN w:val="0"/>
              <w:snapToGrid w:val="0"/>
              <w:spacing w:line="300" w:lineRule="exact"/>
              <w:rPr>
                <w:rFonts w:hAnsi="ＭＳ 明朝"/>
              </w:rPr>
            </w:pPr>
          </w:p>
        </w:tc>
        <w:tc>
          <w:tcPr>
            <w:tcW w:w="6027" w:type="dxa"/>
            <w:shd w:val="clear" w:color="auto" w:fill="auto"/>
          </w:tcPr>
          <w:p w:rsidR="00092AA0" w:rsidRPr="00EA0EED" w:rsidRDefault="00092AA0" w:rsidP="00916DFF">
            <w:pPr>
              <w:autoSpaceDE w:val="0"/>
              <w:autoSpaceDN w:val="0"/>
              <w:spacing w:line="300" w:lineRule="exact"/>
              <w:rPr>
                <w:rFonts w:hAnsi="ＭＳ 明朝" w:cs="Arial"/>
              </w:rPr>
            </w:pPr>
          </w:p>
          <w:p w:rsidR="00092AA0" w:rsidRPr="00C4634A" w:rsidRDefault="00092AA0" w:rsidP="00916DFF">
            <w:pPr>
              <w:autoSpaceDE w:val="0"/>
              <w:autoSpaceDN w:val="0"/>
              <w:spacing w:line="300" w:lineRule="exact"/>
              <w:rPr>
                <w:rFonts w:hAnsi="ＭＳ 明朝"/>
              </w:rPr>
            </w:pPr>
            <w:r w:rsidRPr="00C4634A">
              <w:rPr>
                <w:rFonts w:hAnsi="ＭＳ 明朝" w:hint="eastAsia"/>
              </w:rPr>
              <w:t xml:space="preserve">　</w:t>
            </w:r>
            <w:r>
              <w:rPr>
                <w:rFonts w:hAnsi="ＭＳ 明朝" w:hint="eastAsia"/>
              </w:rPr>
              <w:t>令和２</w:t>
            </w:r>
            <w:r w:rsidRPr="00C4634A">
              <w:rPr>
                <w:rFonts w:hAnsi="ＭＳ 明朝" w:hint="eastAsia"/>
              </w:rPr>
              <w:t>年度</w:t>
            </w:r>
            <w:r>
              <w:rPr>
                <w:rFonts w:hAnsi="ＭＳ 明朝" w:hint="eastAsia"/>
              </w:rPr>
              <w:t>において調定した</w:t>
            </w:r>
            <w:r w:rsidRPr="00C4634A">
              <w:rPr>
                <w:rFonts w:hAnsi="ＭＳ 明朝" w:hint="eastAsia"/>
              </w:rPr>
              <w:t>歳入</w:t>
            </w:r>
            <w:r>
              <w:rPr>
                <w:rFonts w:hAnsi="ＭＳ 明朝" w:hint="eastAsia"/>
              </w:rPr>
              <w:t>で</w:t>
            </w:r>
            <w:r w:rsidRPr="00C4634A">
              <w:rPr>
                <w:rFonts w:hAnsi="ＭＳ 明朝" w:hint="eastAsia"/>
              </w:rPr>
              <w:t>、</w:t>
            </w:r>
            <w:r>
              <w:rPr>
                <w:rFonts w:hAnsi="ＭＳ 明朝" w:hint="eastAsia"/>
              </w:rPr>
              <w:t>当該年度内に収納済とならなかったものについて、翌年度の調定</w:t>
            </w:r>
            <w:r w:rsidRPr="00C4634A">
              <w:rPr>
                <w:rFonts w:hAnsi="ＭＳ 明朝" w:hint="eastAsia"/>
              </w:rPr>
              <w:t>繰越</w:t>
            </w:r>
            <w:r>
              <w:rPr>
                <w:rFonts w:hAnsi="ＭＳ 明朝" w:hint="eastAsia"/>
              </w:rPr>
              <w:t>し</w:t>
            </w:r>
            <w:r w:rsidRPr="00C4634A">
              <w:rPr>
                <w:rFonts w:hAnsi="ＭＳ 明朝" w:hint="eastAsia"/>
              </w:rPr>
              <w:t>の決裁手続</w:t>
            </w:r>
            <w:r>
              <w:rPr>
                <w:rFonts w:hAnsi="ＭＳ 明朝" w:hint="eastAsia"/>
              </w:rPr>
              <w:t>が</w:t>
            </w:r>
            <w:r w:rsidRPr="00C4634A">
              <w:rPr>
                <w:rFonts w:hAnsi="ＭＳ 明朝" w:hint="eastAsia"/>
              </w:rPr>
              <w:t>行</w:t>
            </w:r>
            <w:r>
              <w:rPr>
                <w:rFonts w:hAnsi="ＭＳ 明朝" w:hint="eastAsia"/>
              </w:rPr>
              <w:t>われていなかった</w:t>
            </w:r>
            <w:r w:rsidRPr="00C4634A">
              <w:rPr>
                <w:rFonts w:hAnsi="ＭＳ 明朝" w:hint="eastAsia"/>
              </w:rPr>
              <w:t>。</w:t>
            </w:r>
          </w:p>
          <w:p w:rsidR="00092AA0" w:rsidRPr="00C4634A" w:rsidRDefault="00092AA0" w:rsidP="00916DFF">
            <w:pPr>
              <w:autoSpaceDE w:val="0"/>
              <w:autoSpaceDN w:val="0"/>
              <w:spacing w:line="300" w:lineRule="exact"/>
              <w:rPr>
                <w:rFonts w:hAnsi="ＭＳ 明朝"/>
              </w:rPr>
            </w:pPr>
          </w:p>
          <w:p w:rsidR="00092AA0" w:rsidRPr="00C4634A" w:rsidRDefault="00092AA0" w:rsidP="00916DFF">
            <w:pPr>
              <w:autoSpaceDE w:val="0"/>
              <w:autoSpaceDN w:val="0"/>
              <w:spacing w:line="300"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2632"/>
            </w:tblGrid>
            <w:tr w:rsidR="00092AA0" w:rsidRPr="00C4634A" w:rsidTr="00E12994">
              <w:trPr>
                <w:trHeight w:val="461"/>
              </w:trPr>
              <w:tc>
                <w:tcPr>
                  <w:tcW w:w="4486" w:type="dxa"/>
                  <w:shd w:val="clear" w:color="auto" w:fill="auto"/>
                  <w:vAlign w:val="center"/>
                </w:tcPr>
                <w:p w:rsidR="00092AA0" w:rsidRPr="00C4634A" w:rsidRDefault="00092AA0" w:rsidP="00916DFF">
                  <w:pPr>
                    <w:autoSpaceDE w:val="0"/>
                    <w:autoSpaceDN w:val="0"/>
                    <w:spacing w:line="300" w:lineRule="exact"/>
                    <w:jc w:val="center"/>
                    <w:rPr>
                      <w:rFonts w:hAnsi="ＭＳ 明朝"/>
                    </w:rPr>
                  </w:pPr>
                  <w:r w:rsidRPr="00C4634A">
                    <w:rPr>
                      <w:rFonts w:hAnsi="ＭＳ 明朝" w:hint="eastAsia"/>
                    </w:rPr>
                    <w:t>歳入名称</w:t>
                  </w:r>
                </w:p>
              </w:tc>
              <w:tc>
                <w:tcPr>
                  <w:tcW w:w="3301" w:type="dxa"/>
                  <w:shd w:val="clear" w:color="auto" w:fill="auto"/>
                  <w:vAlign w:val="center"/>
                </w:tcPr>
                <w:p w:rsidR="00092AA0" w:rsidRPr="00C4634A" w:rsidRDefault="00092AA0" w:rsidP="00916DFF">
                  <w:pPr>
                    <w:autoSpaceDE w:val="0"/>
                    <w:autoSpaceDN w:val="0"/>
                    <w:spacing w:line="300" w:lineRule="exact"/>
                    <w:jc w:val="center"/>
                    <w:rPr>
                      <w:rFonts w:hAnsi="ＭＳ 明朝"/>
                    </w:rPr>
                  </w:pPr>
                  <w:r w:rsidRPr="00C4634A">
                    <w:rPr>
                      <w:rFonts w:hAnsi="ＭＳ 明朝" w:hint="eastAsia"/>
                    </w:rPr>
                    <w:t>調定額</w:t>
                  </w:r>
                </w:p>
              </w:tc>
            </w:tr>
            <w:tr w:rsidR="00092AA0" w:rsidRPr="00C4634A" w:rsidTr="00E12994">
              <w:trPr>
                <w:trHeight w:val="437"/>
              </w:trPr>
              <w:tc>
                <w:tcPr>
                  <w:tcW w:w="4486" w:type="dxa"/>
                  <w:shd w:val="clear" w:color="auto" w:fill="auto"/>
                  <w:vAlign w:val="center"/>
                </w:tcPr>
                <w:p w:rsidR="00092AA0" w:rsidRPr="00C4634A" w:rsidRDefault="00092AA0" w:rsidP="00916DFF">
                  <w:pPr>
                    <w:autoSpaceDE w:val="0"/>
                    <w:autoSpaceDN w:val="0"/>
                    <w:spacing w:line="300" w:lineRule="exact"/>
                    <w:jc w:val="center"/>
                    <w:rPr>
                      <w:rFonts w:hAnsi="ＭＳ 明朝"/>
                    </w:rPr>
                  </w:pPr>
                  <w:r>
                    <w:rPr>
                      <w:rFonts w:hAnsi="ＭＳ 明朝" w:hint="eastAsia"/>
                    </w:rPr>
                    <w:t>道路橋りょう使用料</w:t>
                  </w:r>
                </w:p>
              </w:tc>
              <w:tc>
                <w:tcPr>
                  <w:tcW w:w="3301" w:type="dxa"/>
                  <w:shd w:val="clear" w:color="auto" w:fill="auto"/>
                  <w:vAlign w:val="center"/>
                </w:tcPr>
                <w:p w:rsidR="00092AA0" w:rsidRPr="00C4634A" w:rsidRDefault="00092AA0" w:rsidP="00916DFF">
                  <w:pPr>
                    <w:autoSpaceDE w:val="0"/>
                    <w:autoSpaceDN w:val="0"/>
                    <w:spacing w:line="300" w:lineRule="exact"/>
                    <w:jc w:val="center"/>
                    <w:rPr>
                      <w:rFonts w:hAnsi="ＭＳ 明朝"/>
                    </w:rPr>
                  </w:pPr>
                  <w:r>
                    <w:rPr>
                      <w:rFonts w:hAnsi="ＭＳ 明朝"/>
                    </w:rPr>
                    <w:t>1,200</w:t>
                  </w:r>
                  <w:r w:rsidRPr="00C4634A">
                    <w:rPr>
                      <w:rFonts w:hAnsi="ＭＳ 明朝" w:hint="eastAsia"/>
                    </w:rPr>
                    <w:t>,</w:t>
                  </w:r>
                  <w:r>
                    <w:rPr>
                      <w:rFonts w:hAnsi="ＭＳ 明朝"/>
                    </w:rPr>
                    <w:t>000</w:t>
                  </w:r>
                  <w:r w:rsidRPr="00C4634A">
                    <w:rPr>
                      <w:rFonts w:hAnsi="ＭＳ 明朝" w:hint="eastAsia"/>
                    </w:rPr>
                    <w:t>円</w:t>
                  </w:r>
                </w:p>
              </w:tc>
            </w:tr>
          </w:tbl>
          <w:p w:rsidR="00614675" w:rsidRDefault="00614675" w:rsidP="00916DFF">
            <w:pPr>
              <w:autoSpaceDE w:val="0"/>
              <w:autoSpaceDN w:val="0"/>
              <w:snapToGrid w:val="0"/>
              <w:spacing w:line="300" w:lineRule="exact"/>
              <w:rPr>
                <w:rFonts w:hAnsi="ＭＳ 明朝" w:cs="Arial"/>
              </w:rPr>
            </w:pPr>
          </w:p>
          <w:p w:rsidR="006C3E58" w:rsidRPr="00614675" w:rsidRDefault="006C3E58" w:rsidP="00916DFF">
            <w:pPr>
              <w:autoSpaceDE w:val="0"/>
              <w:autoSpaceDN w:val="0"/>
              <w:snapToGrid w:val="0"/>
              <w:spacing w:line="300" w:lineRule="exact"/>
              <w:rPr>
                <w:rFonts w:hAnsi="ＭＳ 明朝" w:cs="Arial" w:hint="eastAsia"/>
              </w:rPr>
            </w:pPr>
          </w:p>
        </w:tc>
        <w:tc>
          <w:tcPr>
            <w:tcW w:w="6027" w:type="dxa"/>
            <w:shd w:val="clear" w:color="auto" w:fill="auto"/>
          </w:tcPr>
          <w:p w:rsidR="00092AA0" w:rsidRPr="00EA0EED" w:rsidRDefault="00092AA0" w:rsidP="00916DFF">
            <w:pPr>
              <w:autoSpaceDE w:val="0"/>
              <w:autoSpaceDN w:val="0"/>
              <w:spacing w:line="300" w:lineRule="exact"/>
              <w:rPr>
                <w:rFonts w:hAnsi="ＭＳ 明朝"/>
              </w:rPr>
            </w:pPr>
          </w:p>
          <w:p w:rsidR="00092AA0" w:rsidRPr="00C4634A" w:rsidRDefault="00092AA0" w:rsidP="00916DFF">
            <w:pPr>
              <w:autoSpaceDE w:val="0"/>
              <w:autoSpaceDN w:val="0"/>
              <w:spacing w:line="300" w:lineRule="exact"/>
              <w:ind w:firstLineChars="100" w:firstLine="240"/>
              <w:rPr>
                <w:rFonts w:hAnsi="ＭＳ 明朝" w:cs="Arial"/>
                <w:color w:val="000000"/>
              </w:rPr>
            </w:pPr>
            <w:r w:rsidRPr="00C4634A">
              <w:rPr>
                <w:rFonts w:hAnsi="ＭＳ 明朝" w:cs="Arial" w:hint="eastAsia"/>
                <w:color w:val="000000"/>
              </w:rPr>
              <w:t>検出事項について原因を確認し、所属のチェック体制を強化する等、再発防止に向け必要な措置を講じられたい。</w:t>
            </w:r>
          </w:p>
          <w:p w:rsidR="00614675" w:rsidRPr="00092AA0" w:rsidRDefault="00614675" w:rsidP="00916DFF">
            <w:pPr>
              <w:autoSpaceDE w:val="0"/>
              <w:autoSpaceDN w:val="0"/>
              <w:spacing w:line="300" w:lineRule="exact"/>
              <w:rPr>
                <w:rFonts w:hAnsi="ＭＳ 明朝"/>
              </w:rPr>
            </w:pPr>
          </w:p>
          <w:p w:rsidR="00092AA0" w:rsidRDefault="00855BA7" w:rsidP="00916DFF">
            <w:pPr>
              <w:autoSpaceDE w:val="0"/>
              <w:autoSpaceDN w:val="0"/>
              <w:spacing w:line="300" w:lineRule="exact"/>
              <w:ind w:leftChars="17" w:left="281" w:hangingChars="100" w:hanging="240"/>
            </w:pPr>
            <w:r>
              <w:rPr>
                <w:noProof/>
              </w:rPr>
              <mc:AlternateContent>
                <mc:Choice Requires="wps">
                  <w:drawing>
                    <wp:anchor distT="0" distB="0" distL="114300" distR="114300" simplePos="0" relativeHeight="251657728" behindDoc="0" locked="0" layoutInCell="1" allowOverlap="1">
                      <wp:simplePos x="0" y="0"/>
                      <wp:positionH relativeFrom="column">
                        <wp:posOffset>-40640</wp:posOffset>
                      </wp:positionH>
                      <wp:positionV relativeFrom="paragraph">
                        <wp:posOffset>46990</wp:posOffset>
                      </wp:positionV>
                      <wp:extent cx="3753485" cy="4737100"/>
                      <wp:effectExtent l="0" t="0" r="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485" cy="4737100"/>
                              </a:xfrm>
                              <a:prstGeom prst="rect">
                                <a:avLst/>
                              </a:prstGeom>
                              <a:solidFill>
                                <a:srgbClr val="FFFFFF"/>
                              </a:solidFill>
                              <a:ln w="6350">
                                <a:solidFill>
                                  <a:srgbClr val="000000"/>
                                </a:solidFill>
                                <a:prstDash val="dash"/>
                                <a:miter lim="800000"/>
                                <a:headEnd/>
                                <a:tailEnd/>
                              </a:ln>
                            </wps:spPr>
                            <wps:txbx>
                              <w:txbxContent>
                                <w:p w:rsidR="00092AA0" w:rsidRPr="00CF0FB1" w:rsidRDefault="00092AA0" w:rsidP="00092AA0">
                                  <w:pPr>
                                    <w:autoSpaceDE w:val="0"/>
                                    <w:autoSpaceDN w:val="0"/>
                                    <w:spacing w:line="300" w:lineRule="exact"/>
                                    <w:rPr>
                                      <w:rFonts w:hAnsi="ＭＳ 明朝" w:cs="Arial"/>
                                      <w:color w:val="000000"/>
                                    </w:rPr>
                                  </w:pPr>
                                  <w:r w:rsidRPr="00CF0FB1">
                                    <w:rPr>
                                      <w:rFonts w:hAnsi="ＭＳ 明朝" w:cs="Arial" w:hint="eastAsia"/>
                                      <w:color w:val="000000"/>
                                    </w:rPr>
                                    <w:t>【大阪府財務規則】</w:t>
                                  </w:r>
                                </w:p>
                                <w:p w:rsidR="00092AA0" w:rsidRPr="00CF0FB1" w:rsidRDefault="00092AA0" w:rsidP="00092AA0">
                                  <w:pPr>
                                    <w:autoSpaceDE w:val="0"/>
                                    <w:autoSpaceDN w:val="0"/>
                                    <w:spacing w:line="300" w:lineRule="exact"/>
                                  </w:pPr>
                                  <w:r w:rsidRPr="00CF0FB1">
                                    <w:rPr>
                                      <w:rFonts w:hint="eastAsia"/>
                                    </w:rPr>
                                    <w:t>（翌年度への調定繰越し）</w:t>
                                  </w:r>
                                </w:p>
                                <w:p w:rsidR="00092AA0" w:rsidRDefault="00092AA0" w:rsidP="00092AA0">
                                  <w:pPr>
                                    <w:autoSpaceDE w:val="0"/>
                                    <w:autoSpaceDN w:val="0"/>
                                    <w:spacing w:line="300" w:lineRule="exact"/>
                                    <w:ind w:leftChars="17" w:left="281" w:hangingChars="100" w:hanging="240"/>
                                  </w:pPr>
                                  <w:r w:rsidRPr="00CF0FB1">
                                    <w:rPr>
                                      <w:rFonts w:hint="eastAsia"/>
                                    </w:rPr>
                                    <w:t>第</w:t>
                                  </w:r>
                                  <w:r w:rsidRPr="00CF0FB1">
                                    <w:rPr>
                                      <w:rFonts w:hAnsi="ＭＳ 明朝" w:hint="eastAsia"/>
                                    </w:rPr>
                                    <w:t>30</w:t>
                                  </w:r>
                                  <w:r w:rsidRPr="00CF0FB1">
                                    <w:rPr>
                                      <w:rFonts w:hint="eastAsia"/>
                                    </w:rPr>
                                    <w:t>条　歳入徴収者は、毎会計年度において調定した金額で、当該年度内に、収入済みとならなかったもの（不納欠損として整理したものを除く。）は翌年度の調定額に繰り越さなければならない。</w:t>
                                  </w:r>
                                </w:p>
                                <w:p w:rsidR="00092AA0" w:rsidRDefault="00092AA0" w:rsidP="00092AA0">
                                  <w:pPr>
                                    <w:autoSpaceDE w:val="0"/>
                                    <w:autoSpaceDN w:val="0"/>
                                    <w:spacing w:line="300" w:lineRule="exact"/>
                                    <w:ind w:leftChars="17" w:left="281" w:hangingChars="100" w:hanging="240"/>
                                  </w:pPr>
                                </w:p>
                                <w:p w:rsidR="00092AA0" w:rsidRPr="00CF0FB1" w:rsidRDefault="00092AA0" w:rsidP="00092AA0">
                                  <w:pPr>
                                    <w:autoSpaceDE w:val="0"/>
                                    <w:autoSpaceDN w:val="0"/>
                                    <w:spacing w:line="300" w:lineRule="exact"/>
                                    <w:rPr>
                                      <w:rFonts w:hAnsi="ＭＳ 明朝" w:cs="Arial"/>
                                      <w:color w:val="000000"/>
                                    </w:rPr>
                                  </w:pPr>
                                  <w:r w:rsidRPr="00CF0FB1">
                                    <w:rPr>
                                      <w:rFonts w:hAnsi="ＭＳ 明朝" w:cs="Arial" w:hint="eastAsia"/>
                                      <w:color w:val="000000"/>
                                    </w:rPr>
                                    <w:t>【大阪府財務規則の運用】</w:t>
                                  </w:r>
                                </w:p>
                                <w:p w:rsidR="00092AA0" w:rsidRPr="00CF0FB1" w:rsidRDefault="00092AA0" w:rsidP="00092AA0">
                                  <w:pPr>
                                    <w:autoSpaceDE w:val="0"/>
                                    <w:autoSpaceDN w:val="0"/>
                                    <w:spacing w:line="300" w:lineRule="exact"/>
                                  </w:pPr>
                                  <w:r w:rsidRPr="00CF0FB1">
                                    <w:rPr>
                                      <w:rFonts w:hint="eastAsia"/>
                                    </w:rPr>
                                    <w:t>第</w:t>
                                  </w:r>
                                  <w:r w:rsidRPr="00CF0FB1">
                                    <w:rPr>
                                      <w:rFonts w:hAnsi="ＭＳ 明朝" w:hint="eastAsia"/>
                                    </w:rPr>
                                    <w:t>30</w:t>
                                  </w:r>
                                  <w:r w:rsidRPr="00CF0FB1">
                                    <w:rPr>
                                      <w:rFonts w:hint="eastAsia"/>
                                    </w:rPr>
                                    <w:t>条関係</w:t>
                                  </w:r>
                                </w:p>
                                <w:p w:rsidR="00092AA0" w:rsidRPr="00CF0FB1" w:rsidRDefault="00092AA0" w:rsidP="00092AA0">
                                  <w:pPr>
                                    <w:autoSpaceDE w:val="0"/>
                                    <w:autoSpaceDN w:val="0"/>
                                    <w:spacing w:line="300" w:lineRule="exact"/>
                                    <w:ind w:leftChars="13" w:left="271" w:hangingChars="100" w:hanging="240"/>
                                  </w:pPr>
                                  <w:r w:rsidRPr="00CF0FB1">
                                    <w:rPr>
                                      <w:rFonts w:hAnsi="ＭＳ 明朝" w:hint="eastAsia"/>
                                    </w:rPr>
                                    <w:t xml:space="preserve">１　</w:t>
                                  </w:r>
                                  <w:r w:rsidRPr="00CF0FB1">
                                    <w:rPr>
                                      <w:rFonts w:hint="eastAsia"/>
                                    </w:rPr>
                                    <w:t>毎会計年度において調定した金額で、出納閉鎖の日までに収納済とならなかったもの（不納欠損として整理したものを除く。）は、翌年度の調定額として繰り越さなければならない。なお、前年度から繰越しをした調定額で、出納閉鎖の日までに収納済とならなかったもの（不納欠損として整理したものを除く。）は、再度翌年度の調定額に繰り越し、その後逓次繰越しをするものとする。</w:t>
                                  </w:r>
                                </w:p>
                                <w:p w:rsidR="00092AA0" w:rsidRPr="00CF0FB1" w:rsidRDefault="00092AA0" w:rsidP="00092AA0">
                                  <w:pPr>
                                    <w:autoSpaceDE w:val="0"/>
                                    <w:autoSpaceDN w:val="0"/>
                                    <w:spacing w:line="300" w:lineRule="exact"/>
                                  </w:pPr>
                                </w:p>
                                <w:p w:rsidR="00092AA0" w:rsidRDefault="00092AA0" w:rsidP="00092AA0">
                                  <w:pPr>
                                    <w:autoSpaceDE w:val="0"/>
                                    <w:autoSpaceDN w:val="0"/>
                                    <w:spacing w:line="300" w:lineRule="exact"/>
                                    <w:ind w:leftChars="17" w:left="281" w:hangingChars="100" w:hanging="240"/>
                                  </w:pPr>
                                  <w:r w:rsidRPr="00CF0FB1">
                                    <w:rPr>
                                      <w:rFonts w:hAnsi="ＭＳ 明朝" w:hint="eastAsia"/>
                                    </w:rPr>
                                    <w:t xml:space="preserve">２　</w:t>
                                  </w:r>
                                  <w:r w:rsidRPr="00CF0FB1">
                                    <w:rPr>
                                      <w:rFonts w:hint="eastAsia"/>
                                    </w:rPr>
                                    <w:t>調定繰越しは、システムにより繰越伺書（様式第</w:t>
                                  </w:r>
                                  <w:r w:rsidRPr="00CF0FB1">
                                    <w:rPr>
                                      <w:rFonts w:hAnsi="ＭＳ 明朝" w:hint="eastAsia"/>
                                    </w:rPr>
                                    <w:t>12</w:t>
                                  </w:r>
                                  <w:r w:rsidRPr="00CF0FB1">
                                    <w:rPr>
                                      <w:rFonts w:hint="eastAsia"/>
                                    </w:rPr>
                                    <w:t>号の２）を作成することにより行うものとする。なお、システムにより作成される収入未済繰越一覧表（様式第</w:t>
                                  </w:r>
                                  <w:r w:rsidRPr="00CF0FB1">
                                    <w:rPr>
                                      <w:rFonts w:hAnsi="ＭＳ 明朝" w:hint="eastAsia"/>
                                    </w:rPr>
                                    <w:t>12</w:t>
                                  </w:r>
                                  <w:r w:rsidRPr="00CF0FB1">
                                    <w:rPr>
                                      <w:rFonts w:hint="eastAsia"/>
                                    </w:rPr>
                                    <w:t>号）は、歳入徴収者が繰越伺書に添付して保管しなければならない。（</w:t>
                                  </w:r>
                                  <w:r>
                                    <w:rPr>
                                      <w:rFonts w:hint="eastAsia"/>
                                    </w:rPr>
                                    <w:t>以下</w:t>
                                  </w:r>
                                  <w:r w:rsidR="000254B5">
                                    <w:rPr>
                                      <w:rFonts w:hint="eastAsia"/>
                                    </w:rPr>
                                    <w:t>略</w:t>
                                  </w:r>
                                  <w:r w:rsidRPr="00CF0FB1">
                                    <w:rPr>
                                      <w:rFonts w:hint="eastAsia"/>
                                    </w:rPr>
                                    <w:t>）</w:t>
                                  </w:r>
                                </w:p>
                                <w:p w:rsidR="00092AA0" w:rsidRDefault="00092AA0" w:rsidP="00092AA0">
                                  <w:pPr>
                                    <w:autoSpaceDE w:val="0"/>
                                    <w:autoSpaceDN w:val="0"/>
                                    <w:spacing w:line="300" w:lineRule="exact"/>
                                    <w:ind w:leftChars="17" w:left="281" w:hangingChars="100" w:hanging="240"/>
                                  </w:pPr>
                                </w:p>
                                <w:p w:rsidR="00092AA0" w:rsidRPr="00CF0FB1" w:rsidRDefault="00092AA0" w:rsidP="00092AA0">
                                  <w:pPr>
                                    <w:autoSpaceDE w:val="0"/>
                                    <w:autoSpaceDN w:val="0"/>
                                    <w:spacing w:line="300" w:lineRule="exact"/>
                                    <w:ind w:leftChars="17" w:left="281" w:hangingChars="100" w:hanging="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pt;margin-top:3.7pt;width:295.55pt;height:3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" strokeweight=".5pt">
                      <v:stroke dashstyle="dash"/>
                      <v:textbox inset="5.85pt,.7pt,5.85pt,.7pt">
                        <w:txbxContent>
                          <w:p w:rsidR="00092AA0" w:rsidRPr="00CF0FB1" w:rsidRDefault="00092AA0" w:rsidP="00092AA0">
                            <w:pPr>
                              <w:autoSpaceDE w:val="0"/>
                              <w:autoSpaceDN w:val="0"/>
                              <w:spacing w:line="300" w:lineRule="exact"/>
                              <w:rPr>
                                <w:rFonts w:hAnsi="ＭＳ 明朝" w:cs="Arial"/>
                                <w:color w:val="000000"/>
                              </w:rPr>
                            </w:pPr>
                            <w:r w:rsidRPr="00CF0FB1">
                              <w:rPr>
                                <w:rFonts w:hAnsi="ＭＳ 明朝" w:cs="Arial" w:hint="eastAsia"/>
                                <w:color w:val="000000"/>
                              </w:rPr>
                              <w:t>【大阪府財務規則】</w:t>
                            </w:r>
                          </w:p>
                          <w:p w:rsidR="00092AA0" w:rsidRPr="00CF0FB1" w:rsidRDefault="00092AA0" w:rsidP="00092AA0">
                            <w:pPr>
                              <w:autoSpaceDE w:val="0"/>
                              <w:autoSpaceDN w:val="0"/>
                              <w:spacing w:line="300" w:lineRule="exact"/>
                            </w:pPr>
                            <w:r w:rsidRPr="00CF0FB1">
                              <w:rPr>
                                <w:rFonts w:hint="eastAsia"/>
                              </w:rPr>
                              <w:t>（翌年度への調定繰越し）</w:t>
                            </w:r>
                          </w:p>
                          <w:p w:rsidR="00092AA0" w:rsidRDefault="00092AA0" w:rsidP="00092AA0">
                            <w:pPr>
                              <w:autoSpaceDE w:val="0"/>
                              <w:autoSpaceDN w:val="0"/>
                              <w:spacing w:line="300" w:lineRule="exact"/>
                              <w:ind w:leftChars="17" w:left="281" w:hangingChars="100" w:hanging="240"/>
                            </w:pPr>
                            <w:r w:rsidRPr="00CF0FB1">
                              <w:rPr>
                                <w:rFonts w:hint="eastAsia"/>
                              </w:rPr>
                              <w:t>第</w:t>
                            </w:r>
                            <w:r w:rsidRPr="00CF0FB1">
                              <w:rPr>
                                <w:rFonts w:hAnsi="ＭＳ 明朝" w:hint="eastAsia"/>
                              </w:rPr>
                              <w:t>30</w:t>
                            </w:r>
                            <w:r w:rsidRPr="00CF0FB1">
                              <w:rPr>
                                <w:rFonts w:hint="eastAsia"/>
                              </w:rPr>
                              <w:t>条　歳入徴収者は、毎会計年度において調定した金額で、当該年度内に、収入済みとならなかったもの（不納欠損として整理したものを除く。）は翌年度の調定額に繰り越さなければならない。</w:t>
                            </w:r>
                          </w:p>
                          <w:p w:rsidR="00092AA0" w:rsidRDefault="00092AA0" w:rsidP="00092AA0">
                            <w:pPr>
                              <w:autoSpaceDE w:val="0"/>
                              <w:autoSpaceDN w:val="0"/>
                              <w:spacing w:line="300" w:lineRule="exact"/>
                              <w:ind w:leftChars="17" w:left="281" w:hangingChars="100" w:hanging="240"/>
                            </w:pPr>
                          </w:p>
                          <w:p w:rsidR="00092AA0" w:rsidRPr="00CF0FB1" w:rsidRDefault="00092AA0" w:rsidP="00092AA0">
                            <w:pPr>
                              <w:autoSpaceDE w:val="0"/>
                              <w:autoSpaceDN w:val="0"/>
                              <w:spacing w:line="300" w:lineRule="exact"/>
                              <w:rPr>
                                <w:rFonts w:hAnsi="ＭＳ 明朝" w:cs="Arial"/>
                                <w:color w:val="000000"/>
                              </w:rPr>
                            </w:pPr>
                            <w:r w:rsidRPr="00CF0FB1">
                              <w:rPr>
                                <w:rFonts w:hAnsi="ＭＳ 明朝" w:cs="Arial" w:hint="eastAsia"/>
                                <w:color w:val="000000"/>
                              </w:rPr>
                              <w:t>【大阪府財務規則の運用】</w:t>
                            </w:r>
                          </w:p>
                          <w:p w:rsidR="00092AA0" w:rsidRPr="00CF0FB1" w:rsidRDefault="00092AA0" w:rsidP="00092AA0">
                            <w:pPr>
                              <w:autoSpaceDE w:val="0"/>
                              <w:autoSpaceDN w:val="0"/>
                              <w:spacing w:line="300" w:lineRule="exact"/>
                            </w:pPr>
                            <w:r w:rsidRPr="00CF0FB1">
                              <w:rPr>
                                <w:rFonts w:hint="eastAsia"/>
                              </w:rPr>
                              <w:t>第</w:t>
                            </w:r>
                            <w:r w:rsidRPr="00CF0FB1">
                              <w:rPr>
                                <w:rFonts w:hAnsi="ＭＳ 明朝" w:hint="eastAsia"/>
                              </w:rPr>
                              <w:t>30</w:t>
                            </w:r>
                            <w:r w:rsidRPr="00CF0FB1">
                              <w:rPr>
                                <w:rFonts w:hint="eastAsia"/>
                              </w:rPr>
                              <w:t>条関係</w:t>
                            </w:r>
                          </w:p>
                          <w:p w:rsidR="00092AA0" w:rsidRPr="00CF0FB1" w:rsidRDefault="00092AA0" w:rsidP="00092AA0">
                            <w:pPr>
                              <w:autoSpaceDE w:val="0"/>
                              <w:autoSpaceDN w:val="0"/>
                              <w:spacing w:line="300" w:lineRule="exact"/>
                              <w:ind w:leftChars="13" w:left="271" w:hangingChars="100" w:hanging="240"/>
                            </w:pPr>
                            <w:r w:rsidRPr="00CF0FB1">
                              <w:rPr>
                                <w:rFonts w:hAnsi="ＭＳ 明朝" w:hint="eastAsia"/>
                              </w:rPr>
                              <w:t xml:space="preserve">１　</w:t>
                            </w:r>
                            <w:r w:rsidRPr="00CF0FB1">
                              <w:rPr>
                                <w:rFonts w:hint="eastAsia"/>
                              </w:rPr>
                              <w:t>毎会計年度において調定した金額で、出納閉鎖の日までに収納済とならなかったもの（不納欠損として整理したものを除く。）は、翌年度の調定額として繰り越さなければならない。なお、前年度から繰越しをした調定額で、出納閉鎖の日までに収納済とならなかったもの（不納欠損として整理したものを除く。）は、再度翌年度の調定額に繰り越し、その後逓次繰越しをするものとする。</w:t>
                            </w:r>
                          </w:p>
                          <w:p w:rsidR="00092AA0" w:rsidRPr="00CF0FB1" w:rsidRDefault="00092AA0" w:rsidP="00092AA0">
                            <w:pPr>
                              <w:autoSpaceDE w:val="0"/>
                              <w:autoSpaceDN w:val="0"/>
                              <w:spacing w:line="300" w:lineRule="exact"/>
                            </w:pPr>
                          </w:p>
                          <w:p w:rsidR="00092AA0" w:rsidRDefault="00092AA0" w:rsidP="00092AA0">
                            <w:pPr>
                              <w:autoSpaceDE w:val="0"/>
                              <w:autoSpaceDN w:val="0"/>
                              <w:spacing w:line="300" w:lineRule="exact"/>
                              <w:ind w:leftChars="17" w:left="281" w:hangingChars="100" w:hanging="240"/>
                            </w:pPr>
                            <w:r w:rsidRPr="00CF0FB1">
                              <w:rPr>
                                <w:rFonts w:hAnsi="ＭＳ 明朝" w:hint="eastAsia"/>
                              </w:rPr>
                              <w:t xml:space="preserve">２　</w:t>
                            </w:r>
                            <w:r w:rsidRPr="00CF0FB1">
                              <w:rPr>
                                <w:rFonts w:hint="eastAsia"/>
                              </w:rPr>
                              <w:t>調定繰越しは、システムにより繰越伺書（様式第</w:t>
                            </w:r>
                            <w:r w:rsidRPr="00CF0FB1">
                              <w:rPr>
                                <w:rFonts w:hAnsi="ＭＳ 明朝" w:hint="eastAsia"/>
                              </w:rPr>
                              <w:t>12</w:t>
                            </w:r>
                            <w:r w:rsidRPr="00CF0FB1">
                              <w:rPr>
                                <w:rFonts w:hint="eastAsia"/>
                              </w:rPr>
                              <w:t>号の２）を作成することにより行うものとする。なお、システムにより作成される収入未済繰越一覧表（様式第</w:t>
                            </w:r>
                            <w:r w:rsidRPr="00CF0FB1">
                              <w:rPr>
                                <w:rFonts w:hAnsi="ＭＳ 明朝" w:hint="eastAsia"/>
                              </w:rPr>
                              <w:t>12</w:t>
                            </w:r>
                            <w:r w:rsidRPr="00CF0FB1">
                              <w:rPr>
                                <w:rFonts w:hint="eastAsia"/>
                              </w:rPr>
                              <w:t>号）は、歳入徴収者が繰越伺書に添付して保管しなければならない。（</w:t>
                            </w:r>
                            <w:r>
                              <w:rPr>
                                <w:rFonts w:hint="eastAsia"/>
                              </w:rPr>
                              <w:t>以下</w:t>
                            </w:r>
                            <w:r w:rsidR="000254B5">
                              <w:rPr>
                                <w:rFonts w:hint="eastAsia"/>
                              </w:rPr>
                              <w:t>略</w:t>
                            </w:r>
                            <w:r w:rsidRPr="00CF0FB1">
                              <w:rPr>
                                <w:rFonts w:hint="eastAsia"/>
                              </w:rPr>
                              <w:t>）</w:t>
                            </w:r>
                          </w:p>
                          <w:p w:rsidR="00092AA0" w:rsidRDefault="00092AA0" w:rsidP="00092AA0">
                            <w:pPr>
                              <w:autoSpaceDE w:val="0"/>
                              <w:autoSpaceDN w:val="0"/>
                              <w:spacing w:line="300" w:lineRule="exact"/>
                              <w:ind w:leftChars="17" w:left="281" w:hangingChars="100" w:hanging="240"/>
                            </w:pPr>
                          </w:p>
                          <w:p w:rsidR="00092AA0" w:rsidRPr="00CF0FB1" w:rsidRDefault="00092AA0" w:rsidP="00092AA0">
                            <w:pPr>
                              <w:autoSpaceDE w:val="0"/>
                              <w:autoSpaceDN w:val="0"/>
                              <w:spacing w:line="300" w:lineRule="exact"/>
                              <w:ind w:leftChars="17" w:left="281" w:hangingChars="100" w:hanging="240"/>
                            </w:pPr>
                          </w:p>
                        </w:txbxContent>
                      </v:textbox>
                    </v:shape>
                  </w:pict>
                </mc:Fallback>
              </mc:AlternateContent>
            </w:r>
          </w:p>
          <w:p w:rsidR="006C3E58" w:rsidRPr="00614675" w:rsidRDefault="006C3E58" w:rsidP="00916DFF">
            <w:pPr>
              <w:autoSpaceDE w:val="0"/>
              <w:autoSpaceDN w:val="0"/>
              <w:spacing w:line="300" w:lineRule="exact"/>
              <w:rPr>
                <w:rFonts w:hAnsi="ＭＳ 明朝" w:hint="eastAsia"/>
              </w:rPr>
            </w:pPr>
          </w:p>
        </w:tc>
        <w:tc>
          <w:tcPr>
            <w:tcW w:w="6027" w:type="dxa"/>
            <w:shd w:val="clear" w:color="auto" w:fill="auto"/>
          </w:tcPr>
          <w:p w:rsidR="00336420" w:rsidRPr="00A35DA9" w:rsidRDefault="00336420" w:rsidP="00916DFF">
            <w:pPr>
              <w:widowControl/>
              <w:autoSpaceDE w:val="0"/>
              <w:autoSpaceDN w:val="0"/>
              <w:spacing w:line="300" w:lineRule="exact"/>
              <w:rPr>
                <w:rFonts w:hAnsi="ＭＳ 明朝"/>
              </w:rPr>
            </w:pPr>
          </w:p>
          <w:p w:rsidR="001510D4" w:rsidRDefault="006A0688" w:rsidP="00916DFF">
            <w:pPr>
              <w:widowControl/>
              <w:autoSpaceDE w:val="0"/>
              <w:autoSpaceDN w:val="0"/>
              <w:spacing w:line="300" w:lineRule="exact"/>
              <w:ind w:firstLineChars="100" w:firstLine="240"/>
              <w:rPr>
                <w:rFonts w:hAnsi="ＭＳ 明朝"/>
              </w:rPr>
            </w:pPr>
            <w:r w:rsidRPr="00A35DA9">
              <w:rPr>
                <w:rFonts w:hAnsi="ＭＳ 明朝" w:hint="eastAsia"/>
              </w:rPr>
              <w:t>検出事項について</w:t>
            </w:r>
            <w:r w:rsidR="001510D4">
              <w:rPr>
                <w:rFonts w:hAnsi="ＭＳ 明朝" w:hint="eastAsia"/>
              </w:rPr>
              <w:t>は</w:t>
            </w:r>
            <w:r w:rsidRPr="00A35DA9">
              <w:rPr>
                <w:rFonts w:hAnsi="ＭＳ 明朝" w:hint="eastAsia"/>
              </w:rPr>
              <w:t>、</w:t>
            </w:r>
            <w:r w:rsidR="001510D4">
              <w:rPr>
                <w:rFonts w:hAnsi="ＭＳ 明朝" w:hint="eastAsia"/>
              </w:rPr>
              <w:t>担当者が収入未済調定について翌年度の調定繰越しの決裁手続を行わなければならないことを認識していなかったことにある。</w:t>
            </w:r>
          </w:p>
          <w:p w:rsidR="00614675" w:rsidRPr="00A35DA9" w:rsidRDefault="0051492D" w:rsidP="00916DFF">
            <w:pPr>
              <w:widowControl/>
              <w:autoSpaceDE w:val="0"/>
              <w:autoSpaceDN w:val="0"/>
              <w:spacing w:line="300" w:lineRule="exact"/>
              <w:ind w:firstLineChars="100" w:firstLine="240"/>
              <w:rPr>
                <w:rFonts w:hAnsi="ＭＳ 明朝" w:hint="eastAsia"/>
              </w:rPr>
            </w:pPr>
            <w:r>
              <w:rPr>
                <w:rFonts w:hAnsi="ＭＳ 明朝" w:hint="eastAsia"/>
              </w:rPr>
              <w:t>再発防止に向けて</w:t>
            </w:r>
            <w:r w:rsidR="00A35DA9" w:rsidRPr="00A35DA9">
              <w:rPr>
                <w:rFonts w:hAnsi="ＭＳ 明朝" w:hint="eastAsia"/>
              </w:rPr>
              <w:t>、担当者に対し収入未済調定の繰越手続にかかる事務処理について周知徹底を図</w:t>
            </w:r>
            <w:r w:rsidR="00B20F8F">
              <w:rPr>
                <w:rFonts w:hAnsi="ＭＳ 明朝" w:hint="eastAsia"/>
              </w:rPr>
              <w:t>り、</w:t>
            </w:r>
            <w:r>
              <w:rPr>
                <w:rFonts w:hAnsi="ＭＳ 明朝" w:hint="eastAsia"/>
              </w:rPr>
              <w:t>今後は</w:t>
            </w:r>
            <w:r w:rsidR="00B20F8F">
              <w:rPr>
                <w:rFonts w:hAnsi="ＭＳ 明朝" w:hint="eastAsia"/>
              </w:rPr>
              <w:t>大阪府財務規則に基づいた適正な事務処理を行う</w:t>
            </w:r>
            <w:r w:rsidR="00BF7153" w:rsidRPr="00A35DA9">
              <w:rPr>
                <w:rFonts w:hAnsi="ＭＳ 明朝" w:hint="eastAsia"/>
              </w:rPr>
              <w:t>。</w:t>
            </w:r>
          </w:p>
          <w:p w:rsidR="006C3E58" w:rsidRPr="006A0688" w:rsidRDefault="006C3E58" w:rsidP="00916DFF">
            <w:pPr>
              <w:widowControl/>
              <w:autoSpaceDE w:val="0"/>
              <w:autoSpaceDN w:val="0"/>
              <w:spacing w:line="300" w:lineRule="exact"/>
              <w:rPr>
                <w:rFonts w:hAnsi="ＭＳ 明朝"/>
              </w:rPr>
            </w:pPr>
          </w:p>
          <w:p w:rsidR="00442195" w:rsidRPr="00A35DA9" w:rsidRDefault="00442195" w:rsidP="00916DFF">
            <w:pPr>
              <w:widowControl/>
              <w:autoSpaceDE w:val="0"/>
              <w:autoSpaceDN w:val="0"/>
              <w:spacing w:line="300" w:lineRule="exact"/>
              <w:rPr>
                <w:rFonts w:hAnsi="ＭＳ 明朝"/>
              </w:rPr>
            </w:pPr>
          </w:p>
          <w:p w:rsidR="00442195" w:rsidRDefault="00442195" w:rsidP="00916DFF">
            <w:pPr>
              <w:widowControl/>
              <w:autoSpaceDE w:val="0"/>
              <w:autoSpaceDN w:val="0"/>
              <w:spacing w:line="300" w:lineRule="exact"/>
              <w:rPr>
                <w:rFonts w:hAnsi="ＭＳ 明朝" w:hint="eastAsia"/>
              </w:rPr>
            </w:pPr>
          </w:p>
          <w:p w:rsidR="00442195" w:rsidRDefault="00442195" w:rsidP="00916DFF">
            <w:pPr>
              <w:widowControl/>
              <w:autoSpaceDE w:val="0"/>
              <w:autoSpaceDN w:val="0"/>
              <w:spacing w:line="300" w:lineRule="exact"/>
              <w:rPr>
                <w:rFonts w:hAnsi="ＭＳ 明朝"/>
              </w:rPr>
            </w:pPr>
          </w:p>
          <w:p w:rsidR="00442195" w:rsidRDefault="00442195" w:rsidP="00916DFF">
            <w:pPr>
              <w:widowControl/>
              <w:autoSpaceDE w:val="0"/>
              <w:autoSpaceDN w:val="0"/>
              <w:spacing w:line="300" w:lineRule="exact"/>
              <w:rPr>
                <w:rFonts w:hAnsi="ＭＳ 明朝"/>
              </w:rPr>
            </w:pPr>
          </w:p>
          <w:p w:rsidR="00442195" w:rsidRDefault="00442195" w:rsidP="00916DFF">
            <w:pPr>
              <w:widowControl/>
              <w:autoSpaceDE w:val="0"/>
              <w:autoSpaceDN w:val="0"/>
              <w:spacing w:line="300" w:lineRule="exact"/>
              <w:rPr>
                <w:rFonts w:hAnsi="ＭＳ 明朝"/>
              </w:rPr>
            </w:pPr>
          </w:p>
          <w:p w:rsidR="00442195" w:rsidRDefault="00442195" w:rsidP="00916DFF">
            <w:pPr>
              <w:widowControl/>
              <w:autoSpaceDE w:val="0"/>
              <w:autoSpaceDN w:val="0"/>
              <w:spacing w:line="300" w:lineRule="exact"/>
              <w:rPr>
                <w:rFonts w:hAnsi="ＭＳ 明朝"/>
              </w:rPr>
            </w:pPr>
          </w:p>
          <w:p w:rsidR="00442195" w:rsidRDefault="00442195" w:rsidP="00916DFF">
            <w:pPr>
              <w:widowControl/>
              <w:autoSpaceDE w:val="0"/>
              <w:autoSpaceDN w:val="0"/>
              <w:spacing w:line="300" w:lineRule="exact"/>
              <w:rPr>
                <w:rFonts w:hAnsi="ＭＳ 明朝"/>
              </w:rPr>
            </w:pPr>
          </w:p>
          <w:p w:rsidR="00442195" w:rsidRDefault="00442195" w:rsidP="00916DFF">
            <w:pPr>
              <w:widowControl/>
              <w:autoSpaceDE w:val="0"/>
              <w:autoSpaceDN w:val="0"/>
              <w:spacing w:line="300" w:lineRule="exact"/>
              <w:rPr>
                <w:rFonts w:hAnsi="ＭＳ 明朝"/>
              </w:rPr>
            </w:pPr>
          </w:p>
          <w:p w:rsidR="00442195" w:rsidRDefault="00442195" w:rsidP="00916DFF">
            <w:pPr>
              <w:widowControl/>
              <w:autoSpaceDE w:val="0"/>
              <w:autoSpaceDN w:val="0"/>
              <w:spacing w:line="300" w:lineRule="exact"/>
              <w:rPr>
                <w:rFonts w:hAnsi="ＭＳ 明朝"/>
              </w:rPr>
            </w:pPr>
          </w:p>
          <w:p w:rsidR="00442195" w:rsidRDefault="00442195" w:rsidP="00916DFF">
            <w:pPr>
              <w:widowControl/>
              <w:autoSpaceDE w:val="0"/>
              <w:autoSpaceDN w:val="0"/>
              <w:spacing w:line="300" w:lineRule="exact"/>
              <w:rPr>
                <w:rFonts w:hAnsi="ＭＳ 明朝"/>
              </w:rPr>
            </w:pPr>
          </w:p>
          <w:p w:rsidR="00442195" w:rsidRDefault="00442195" w:rsidP="00916DFF">
            <w:pPr>
              <w:widowControl/>
              <w:autoSpaceDE w:val="0"/>
              <w:autoSpaceDN w:val="0"/>
              <w:spacing w:line="300" w:lineRule="exact"/>
              <w:rPr>
                <w:rFonts w:hAnsi="ＭＳ 明朝"/>
              </w:rPr>
            </w:pPr>
          </w:p>
          <w:p w:rsidR="00442195" w:rsidRDefault="00442195" w:rsidP="00916DFF">
            <w:pPr>
              <w:widowControl/>
              <w:autoSpaceDE w:val="0"/>
              <w:autoSpaceDN w:val="0"/>
              <w:spacing w:line="300" w:lineRule="exact"/>
              <w:rPr>
                <w:rFonts w:hAnsi="ＭＳ 明朝"/>
              </w:rPr>
            </w:pPr>
          </w:p>
          <w:p w:rsidR="00442195" w:rsidRDefault="00442195" w:rsidP="00916DFF">
            <w:pPr>
              <w:widowControl/>
              <w:autoSpaceDE w:val="0"/>
              <w:autoSpaceDN w:val="0"/>
              <w:spacing w:line="300" w:lineRule="exact"/>
              <w:rPr>
                <w:rFonts w:hAnsi="ＭＳ 明朝"/>
              </w:rPr>
            </w:pPr>
          </w:p>
          <w:p w:rsidR="00442195" w:rsidRDefault="00442195" w:rsidP="00916DFF">
            <w:pPr>
              <w:widowControl/>
              <w:autoSpaceDE w:val="0"/>
              <w:autoSpaceDN w:val="0"/>
              <w:spacing w:line="300" w:lineRule="exact"/>
              <w:rPr>
                <w:rFonts w:hAnsi="ＭＳ 明朝"/>
              </w:rPr>
            </w:pPr>
          </w:p>
          <w:p w:rsidR="00442195" w:rsidRDefault="00442195" w:rsidP="00916DFF">
            <w:pPr>
              <w:widowControl/>
              <w:autoSpaceDE w:val="0"/>
              <w:autoSpaceDN w:val="0"/>
              <w:spacing w:line="300" w:lineRule="exact"/>
              <w:rPr>
                <w:rFonts w:hAnsi="ＭＳ 明朝"/>
              </w:rPr>
            </w:pPr>
          </w:p>
          <w:p w:rsidR="00336420" w:rsidRDefault="00336420" w:rsidP="00916DFF">
            <w:pPr>
              <w:widowControl/>
              <w:autoSpaceDE w:val="0"/>
              <w:autoSpaceDN w:val="0"/>
              <w:spacing w:line="300" w:lineRule="exact"/>
              <w:rPr>
                <w:rFonts w:hAnsi="ＭＳ 明朝"/>
              </w:rPr>
            </w:pPr>
          </w:p>
          <w:p w:rsidR="00336420" w:rsidRDefault="00336420" w:rsidP="00916DFF">
            <w:pPr>
              <w:widowControl/>
              <w:autoSpaceDE w:val="0"/>
              <w:autoSpaceDN w:val="0"/>
              <w:spacing w:line="300" w:lineRule="exact"/>
              <w:rPr>
                <w:rFonts w:hAnsi="ＭＳ 明朝"/>
              </w:rPr>
            </w:pPr>
          </w:p>
          <w:p w:rsidR="00336420" w:rsidRDefault="00336420" w:rsidP="00916DFF">
            <w:pPr>
              <w:widowControl/>
              <w:autoSpaceDE w:val="0"/>
              <w:autoSpaceDN w:val="0"/>
              <w:spacing w:line="300" w:lineRule="exact"/>
              <w:rPr>
                <w:rFonts w:hAnsi="ＭＳ 明朝"/>
              </w:rPr>
            </w:pPr>
          </w:p>
          <w:p w:rsidR="00336420" w:rsidRDefault="00336420" w:rsidP="00916DFF">
            <w:pPr>
              <w:widowControl/>
              <w:autoSpaceDE w:val="0"/>
              <w:autoSpaceDN w:val="0"/>
              <w:spacing w:line="300" w:lineRule="exact"/>
              <w:rPr>
                <w:rFonts w:hAnsi="ＭＳ 明朝"/>
              </w:rPr>
            </w:pPr>
          </w:p>
          <w:p w:rsidR="00336420" w:rsidRDefault="00336420" w:rsidP="00916DFF">
            <w:pPr>
              <w:widowControl/>
              <w:autoSpaceDE w:val="0"/>
              <w:autoSpaceDN w:val="0"/>
              <w:spacing w:line="300" w:lineRule="exact"/>
              <w:rPr>
                <w:rFonts w:hAnsi="ＭＳ 明朝"/>
              </w:rPr>
            </w:pPr>
          </w:p>
          <w:p w:rsidR="00336420" w:rsidRDefault="00336420" w:rsidP="00916DFF">
            <w:pPr>
              <w:widowControl/>
              <w:autoSpaceDE w:val="0"/>
              <w:autoSpaceDN w:val="0"/>
              <w:spacing w:line="300" w:lineRule="exact"/>
              <w:rPr>
                <w:rFonts w:hAnsi="ＭＳ 明朝"/>
              </w:rPr>
            </w:pPr>
          </w:p>
          <w:p w:rsidR="00336420" w:rsidRDefault="00336420" w:rsidP="00916DFF">
            <w:pPr>
              <w:widowControl/>
              <w:autoSpaceDE w:val="0"/>
              <w:autoSpaceDN w:val="0"/>
              <w:spacing w:line="300" w:lineRule="exact"/>
              <w:rPr>
                <w:rFonts w:hAnsi="ＭＳ 明朝" w:hint="eastAsia"/>
              </w:rPr>
            </w:pPr>
          </w:p>
          <w:p w:rsidR="00442195" w:rsidRPr="00614675" w:rsidRDefault="00442195" w:rsidP="00916DFF">
            <w:pPr>
              <w:widowControl/>
              <w:autoSpaceDE w:val="0"/>
              <w:autoSpaceDN w:val="0"/>
              <w:spacing w:line="300" w:lineRule="exact"/>
              <w:rPr>
                <w:rFonts w:hAnsi="ＭＳ 明朝" w:hint="eastAsia"/>
              </w:rPr>
            </w:pPr>
          </w:p>
        </w:tc>
      </w:tr>
    </w:tbl>
    <w:p w:rsidR="006C20B1" w:rsidRPr="00D82F4E" w:rsidRDefault="006C3E58" w:rsidP="00776508">
      <w:pPr>
        <w:autoSpaceDE w:val="0"/>
        <w:autoSpaceDN w:val="0"/>
        <w:spacing w:line="300" w:lineRule="exact"/>
        <w:jc w:val="right"/>
        <w:rPr>
          <w:rFonts w:hAnsi="ＭＳ 明朝" w:hint="eastAsia"/>
        </w:rPr>
      </w:pPr>
      <w:r>
        <w:rPr>
          <w:rFonts w:ascii="ＭＳ ゴシック" w:eastAsia="ＭＳ ゴシック" w:hAnsi="ＭＳ ゴシック" w:hint="eastAsia"/>
        </w:rPr>
        <w:t>監査（検査）実施年月日（委員：令和</w:t>
      </w:r>
      <w:r w:rsidR="001F1414">
        <w:rPr>
          <w:rFonts w:ascii="ＭＳ ゴシック" w:eastAsia="ＭＳ ゴシック" w:hAnsi="ＭＳ ゴシック" w:hint="eastAsia"/>
        </w:rPr>
        <w:t>－年－月－</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B740F6">
        <w:rPr>
          <w:rFonts w:ascii="ＭＳ ゴシック" w:eastAsia="ＭＳ ゴシック" w:hAnsi="ＭＳ ゴシック" w:hint="eastAsia"/>
        </w:rPr>
        <w:t>４年11月29日</w:t>
      </w:r>
      <w:r w:rsidRPr="00D82F4E">
        <w:rPr>
          <w:rFonts w:ascii="ＭＳ ゴシック" w:eastAsia="ＭＳ ゴシック" w:hAnsi="ＭＳ ゴシック" w:hint="eastAsia"/>
        </w:rPr>
        <w:t>）</w:t>
      </w:r>
    </w:p>
    <w:sectPr w:rsidR="006C20B1" w:rsidRPr="00D82F4E" w:rsidSect="007F3643">
      <w:headerReference w:type="even" r:id="rId7"/>
      <w:headerReference w:type="default" r:id="rId8"/>
      <w:footerReference w:type="even" r:id="rId9"/>
      <w:footerReference w:type="default" r:id="rId10"/>
      <w:headerReference w:type="first" r:id="rId11"/>
      <w:footerReference w:type="first" r:id="rId12"/>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AA8" w:rsidRDefault="009B0AA8">
      <w:r>
        <w:separator/>
      </w:r>
    </w:p>
  </w:endnote>
  <w:endnote w:type="continuationSeparator" w:id="0">
    <w:p w:rsidR="009B0AA8" w:rsidRDefault="009B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B1" w:rsidRDefault="007A20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B1" w:rsidRDefault="007A20B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B1" w:rsidRDefault="007A20B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AA8" w:rsidRDefault="009B0AA8">
      <w:r>
        <w:separator/>
      </w:r>
    </w:p>
  </w:footnote>
  <w:footnote w:type="continuationSeparator" w:id="0">
    <w:p w:rsidR="009B0AA8" w:rsidRDefault="009B0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B1" w:rsidRDefault="007A20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B1" w:rsidRDefault="007A20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B1" w:rsidRDefault="007A20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254B5"/>
    <w:rsid w:val="00042FDC"/>
    <w:rsid w:val="00050BCC"/>
    <w:rsid w:val="00054A08"/>
    <w:rsid w:val="00085EC0"/>
    <w:rsid w:val="00090541"/>
    <w:rsid w:val="00090F62"/>
    <w:rsid w:val="00092AA0"/>
    <w:rsid w:val="000A4624"/>
    <w:rsid w:val="000C433B"/>
    <w:rsid w:val="000D785D"/>
    <w:rsid w:val="0013558E"/>
    <w:rsid w:val="001510D4"/>
    <w:rsid w:val="00173492"/>
    <w:rsid w:val="0018241A"/>
    <w:rsid w:val="001906A6"/>
    <w:rsid w:val="00197B92"/>
    <w:rsid w:val="001A5AC1"/>
    <w:rsid w:val="001B6422"/>
    <w:rsid w:val="001C0E29"/>
    <w:rsid w:val="001C75F7"/>
    <w:rsid w:val="001D2313"/>
    <w:rsid w:val="001D3B51"/>
    <w:rsid w:val="001F1414"/>
    <w:rsid w:val="001F41A1"/>
    <w:rsid w:val="002265B5"/>
    <w:rsid w:val="002309F6"/>
    <w:rsid w:val="002452AF"/>
    <w:rsid w:val="002654F1"/>
    <w:rsid w:val="002C3117"/>
    <w:rsid w:val="00303A6D"/>
    <w:rsid w:val="0030787E"/>
    <w:rsid w:val="003169D5"/>
    <w:rsid w:val="003234F1"/>
    <w:rsid w:val="0032402C"/>
    <w:rsid w:val="00331CE4"/>
    <w:rsid w:val="0033337B"/>
    <w:rsid w:val="00335BCA"/>
    <w:rsid w:val="00336420"/>
    <w:rsid w:val="00342058"/>
    <w:rsid w:val="00361B7F"/>
    <w:rsid w:val="003974BA"/>
    <w:rsid w:val="003C37FB"/>
    <w:rsid w:val="00425885"/>
    <w:rsid w:val="00442195"/>
    <w:rsid w:val="00446EDB"/>
    <w:rsid w:val="0046452E"/>
    <w:rsid w:val="004762F0"/>
    <w:rsid w:val="0049675E"/>
    <w:rsid w:val="004A632F"/>
    <w:rsid w:val="004B078F"/>
    <w:rsid w:val="004D7741"/>
    <w:rsid w:val="004E6204"/>
    <w:rsid w:val="004F4A04"/>
    <w:rsid w:val="00505DFB"/>
    <w:rsid w:val="00507CBA"/>
    <w:rsid w:val="0051492D"/>
    <w:rsid w:val="00515B21"/>
    <w:rsid w:val="005203C3"/>
    <w:rsid w:val="005249BB"/>
    <w:rsid w:val="0053676E"/>
    <w:rsid w:val="0055438C"/>
    <w:rsid w:val="0056466B"/>
    <w:rsid w:val="005667FF"/>
    <w:rsid w:val="005727C3"/>
    <w:rsid w:val="00580F31"/>
    <w:rsid w:val="005B311E"/>
    <w:rsid w:val="005B7FFA"/>
    <w:rsid w:val="005F77A2"/>
    <w:rsid w:val="00607259"/>
    <w:rsid w:val="00614675"/>
    <w:rsid w:val="00620214"/>
    <w:rsid w:val="0062481A"/>
    <w:rsid w:val="00654366"/>
    <w:rsid w:val="00683F34"/>
    <w:rsid w:val="006A0688"/>
    <w:rsid w:val="006C20B1"/>
    <w:rsid w:val="006C3E58"/>
    <w:rsid w:val="006D274A"/>
    <w:rsid w:val="006E4247"/>
    <w:rsid w:val="006F1898"/>
    <w:rsid w:val="006F69E3"/>
    <w:rsid w:val="007104AD"/>
    <w:rsid w:val="00710947"/>
    <w:rsid w:val="00776508"/>
    <w:rsid w:val="00777633"/>
    <w:rsid w:val="007A20B1"/>
    <w:rsid w:val="007A5F99"/>
    <w:rsid w:val="007F3643"/>
    <w:rsid w:val="00810420"/>
    <w:rsid w:val="008367CE"/>
    <w:rsid w:val="00855BA7"/>
    <w:rsid w:val="008B1203"/>
    <w:rsid w:val="008C6561"/>
    <w:rsid w:val="008E456F"/>
    <w:rsid w:val="009168D9"/>
    <w:rsid w:val="00916DFF"/>
    <w:rsid w:val="00941EFE"/>
    <w:rsid w:val="00942C1E"/>
    <w:rsid w:val="009A269E"/>
    <w:rsid w:val="009A5160"/>
    <w:rsid w:val="009B0AA8"/>
    <w:rsid w:val="009B656A"/>
    <w:rsid w:val="009C25EC"/>
    <w:rsid w:val="009C582D"/>
    <w:rsid w:val="009D32BF"/>
    <w:rsid w:val="00A0336F"/>
    <w:rsid w:val="00A16E55"/>
    <w:rsid w:val="00A35DA9"/>
    <w:rsid w:val="00A61C0E"/>
    <w:rsid w:val="00A63AD1"/>
    <w:rsid w:val="00A72AB7"/>
    <w:rsid w:val="00AC06C6"/>
    <w:rsid w:val="00AD3063"/>
    <w:rsid w:val="00B20F8F"/>
    <w:rsid w:val="00B33740"/>
    <w:rsid w:val="00B34563"/>
    <w:rsid w:val="00B740F6"/>
    <w:rsid w:val="00B8526F"/>
    <w:rsid w:val="00B97919"/>
    <w:rsid w:val="00BB6193"/>
    <w:rsid w:val="00BB7D5A"/>
    <w:rsid w:val="00BD70E6"/>
    <w:rsid w:val="00BF7153"/>
    <w:rsid w:val="00C1611C"/>
    <w:rsid w:val="00C22A3A"/>
    <w:rsid w:val="00C2704A"/>
    <w:rsid w:val="00C37034"/>
    <w:rsid w:val="00C5182C"/>
    <w:rsid w:val="00C51F32"/>
    <w:rsid w:val="00C5548D"/>
    <w:rsid w:val="00CA0E19"/>
    <w:rsid w:val="00CC77A5"/>
    <w:rsid w:val="00D261C9"/>
    <w:rsid w:val="00D60A83"/>
    <w:rsid w:val="00D660B8"/>
    <w:rsid w:val="00D82F4E"/>
    <w:rsid w:val="00DE47D6"/>
    <w:rsid w:val="00E02A19"/>
    <w:rsid w:val="00E03541"/>
    <w:rsid w:val="00E12994"/>
    <w:rsid w:val="00E15935"/>
    <w:rsid w:val="00E334F2"/>
    <w:rsid w:val="00E52236"/>
    <w:rsid w:val="00E53C48"/>
    <w:rsid w:val="00E53D58"/>
    <w:rsid w:val="00E57F30"/>
    <w:rsid w:val="00E8271E"/>
    <w:rsid w:val="00EE4955"/>
    <w:rsid w:val="00EE7C97"/>
    <w:rsid w:val="00EF76C4"/>
    <w:rsid w:val="00F42623"/>
    <w:rsid w:val="00F5471A"/>
    <w:rsid w:val="00F704C2"/>
    <w:rsid w:val="00F95702"/>
    <w:rsid w:val="00FE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character" w:styleId="af">
    <w:name w:val="annotation reference"/>
    <w:rsid w:val="0051492D"/>
    <w:rPr>
      <w:sz w:val="18"/>
      <w:szCs w:val="18"/>
    </w:rPr>
  </w:style>
  <w:style w:type="paragraph" w:styleId="af0">
    <w:name w:val="annotation text"/>
    <w:basedOn w:val="a"/>
    <w:link w:val="af1"/>
    <w:rsid w:val="0051492D"/>
    <w:pPr>
      <w:jc w:val="left"/>
    </w:pPr>
  </w:style>
  <w:style w:type="character" w:customStyle="1" w:styleId="af1">
    <w:name w:val="コメント文字列 (文字)"/>
    <w:link w:val="af0"/>
    <w:rsid w:val="0051492D"/>
    <w:rPr>
      <w:rFonts w:ascii="ＭＳ 明朝"/>
      <w:kern w:val="2"/>
      <w:sz w:val="24"/>
      <w:szCs w:val="24"/>
    </w:rPr>
  </w:style>
  <w:style w:type="paragraph" w:styleId="af2">
    <w:name w:val="annotation subject"/>
    <w:basedOn w:val="af0"/>
    <w:next w:val="af0"/>
    <w:link w:val="af3"/>
    <w:rsid w:val="0051492D"/>
    <w:rPr>
      <w:b/>
      <w:bCs/>
    </w:rPr>
  </w:style>
  <w:style w:type="character" w:customStyle="1" w:styleId="af3">
    <w:name w:val="コメント内容 (文字)"/>
    <w:link w:val="af2"/>
    <w:rsid w:val="0051492D"/>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5A262-E204-4E7B-8DB2-B65147AB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2023-10-13T02:02:00Z</dcterms:created>
  <dcterms:modified xsi:type="dcterms:W3CDTF">2023-10-13T02:02:00Z</dcterms:modified>
</cp:coreProperties>
</file>