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943" w:rsidRDefault="00DC4943" w:rsidP="00DC4943">
      <w:pPr>
        <w:pStyle w:val="a3"/>
        <w:tabs>
          <w:tab w:val="left" w:pos="5943"/>
        </w:tabs>
        <w:wordWrap w:val="0"/>
        <w:snapToGrid w:val="0"/>
        <w:spacing w:line="300" w:lineRule="auto"/>
        <w:ind w:leftChars="0" w:left="0" w:right="846"/>
        <w:jc w:val="both"/>
        <w:rPr>
          <w:rFonts w:hint="eastAsia"/>
          <w:spacing w:val="0"/>
          <w:kern w:val="0"/>
        </w:rPr>
      </w:pPr>
      <w:bookmarkStart w:id="0" w:name="_GoBack"/>
      <w:bookmarkEnd w:id="0"/>
    </w:p>
    <w:p w:rsidR="00DC4943" w:rsidRDefault="00AF64CC" w:rsidP="00F069EF">
      <w:pPr>
        <w:pStyle w:val="a3"/>
        <w:tabs>
          <w:tab w:val="left" w:pos="5943"/>
        </w:tabs>
        <w:snapToGrid w:val="0"/>
        <w:spacing w:line="300" w:lineRule="auto"/>
        <w:ind w:leftChars="0" w:left="0" w:right="0"/>
        <w:rPr>
          <w:rFonts w:hint="eastAsia"/>
          <w:spacing w:val="0"/>
          <w:kern w:val="0"/>
        </w:rPr>
      </w:pPr>
      <w:r w:rsidRPr="007364BA">
        <w:rPr>
          <w:rFonts w:hint="eastAsia"/>
          <w:spacing w:val="82"/>
          <w:kern w:val="0"/>
          <w:fitText w:val="2264" w:id="-1412687872"/>
        </w:rPr>
        <w:t>人事第</w:t>
      </w:r>
      <w:r w:rsidR="007364BA" w:rsidRPr="007364BA">
        <w:rPr>
          <w:rFonts w:hint="eastAsia"/>
          <w:spacing w:val="82"/>
          <w:kern w:val="0"/>
          <w:fitText w:val="2264" w:id="-1412687872"/>
        </w:rPr>
        <w:t>2</w:t>
      </w:r>
      <w:r w:rsidR="007364BA" w:rsidRPr="007364BA">
        <w:rPr>
          <w:spacing w:val="82"/>
          <w:kern w:val="0"/>
          <w:fitText w:val="2264" w:id="-1412687872"/>
        </w:rPr>
        <w:t>368</w:t>
      </w:r>
      <w:r w:rsidR="00DC4943" w:rsidRPr="007364BA">
        <w:rPr>
          <w:rFonts w:hint="eastAsia"/>
          <w:kern w:val="0"/>
          <w:fitText w:val="2264" w:id="-1412687872"/>
        </w:rPr>
        <w:t>号</w:t>
      </w:r>
    </w:p>
    <w:p w:rsidR="00AF64CC" w:rsidRPr="009D5D1B" w:rsidRDefault="006268D9" w:rsidP="00F069EF">
      <w:pPr>
        <w:pStyle w:val="a3"/>
        <w:tabs>
          <w:tab w:val="left" w:pos="5943"/>
        </w:tabs>
        <w:snapToGrid w:val="0"/>
        <w:spacing w:line="300" w:lineRule="auto"/>
        <w:ind w:leftChars="0" w:left="0" w:right="0"/>
        <w:rPr>
          <w:rFonts w:hint="eastAsia"/>
        </w:rPr>
      </w:pPr>
      <w:r w:rsidRPr="007364BA">
        <w:rPr>
          <w:rFonts w:hint="eastAsia"/>
          <w:spacing w:val="24"/>
          <w:kern w:val="0"/>
          <w:fitText w:val="2264" w:id="1252865792"/>
        </w:rPr>
        <w:t>令和４</w:t>
      </w:r>
      <w:r w:rsidR="00BA58AC" w:rsidRPr="007364BA">
        <w:rPr>
          <w:rFonts w:hint="eastAsia"/>
          <w:spacing w:val="24"/>
          <w:kern w:val="0"/>
          <w:fitText w:val="2264" w:id="1252865792"/>
        </w:rPr>
        <w:t>年11</w:t>
      </w:r>
      <w:r w:rsidR="00AF64CC" w:rsidRPr="007364BA">
        <w:rPr>
          <w:rFonts w:hint="eastAsia"/>
          <w:spacing w:val="24"/>
          <w:kern w:val="0"/>
          <w:fitText w:val="2264" w:id="1252865792"/>
        </w:rPr>
        <w:t>月</w:t>
      </w:r>
      <w:r w:rsidR="007364BA" w:rsidRPr="007364BA">
        <w:rPr>
          <w:rFonts w:hint="eastAsia"/>
          <w:spacing w:val="24"/>
          <w:kern w:val="0"/>
          <w:fitText w:val="2264" w:id="1252865792"/>
        </w:rPr>
        <w:t>2</w:t>
      </w:r>
      <w:r w:rsidR="007364BA" w:rsidRPr="007364BA">
        <w:rPr>
          <w:spacing w:val="24"/>
          <w:kern w:val="0"/>
          <w:fitText w:val="2264" w:id="1252865792"/>
        </w:rPr>
        <w:t>8</w:t>
      </w:r>
      <w:r w:rsidR="00AF64CC" w:rsidRPr="007364BA">
        <w:rPr>
          <w:rFonts w:hint="eastAsia"/>
          <w:spacing w:val="4"/>
          <w:kern w:val="0"/>
          <w:fitText w:val="2264" w:id="1252865792"/>
        </w:rPr>
        <w:t>日</w:t>
      </w:r>
    </w:p>
    <w:p w:rsidR="00AF64CC" w:rsidRPr="009D5D1B" w:rsidRDefault="00AF64CC" w:rsidP="00FD6AB7">
      <w:pPr>
        <w:kinsoku w:val="0"/>
        <w:overflowPunct w:val="0"/>
        <w:snapToGrid w:val="0"/>
        <w:spacing w:line="300" w:lineRule="auto"/>
        <w:ind w:right="645"/>
        <w:rPr>
          <w:rFonts w:hint="eastAsia"/>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8"/>
        <w:gridCol w:w="3632"/>
      </w:tblGrid>
      <w:tr w:rsidR="00AF64CC" w:rsidRPr="009D5D1B">
        <w:tblPrEx>
          <w:tblCellMar>
            <w:top w:w="0" w:type="dxa"/>
            <w:bottom w:w="0" w:type="dxa"/>
          </w:tblCellMar>
        </w:tblPrEx>
        <w:tc>
          <w:tcPr>
            <w:tcW w:w="3778" w:type="dxa"/>
            <w:tcBorders>
              <w:top w:val="nil"/>
              <w:left w:val="nil"/>
              <w:bottom w:val="nil"/>
              <w:right w:val="nil"/>
            </w:tcBorders>
          </w:tcPr>
          <w:p w:rsidR="007A688C" w:rsidRPr="009D5D1B" w:rsidRDefault="002D2E5C" w:rsidP="00B53076">
            <w:pPr>
              <w:kinsoku w:val="0"/>
              <w:overflowPunct w:val="0"/>
              <w:snapToGrid w:val="0"/>
              <w:spacing w:afterLines="25" w:after="107" w:line="300" w:lineRule="auto"/>
              <w:ind w:rightChars="156" w:right="442"/>
              <w:jc w:val="distribute"/>
              <w:rPr>
                <w:rFonts w:hint="eastAsia"/>
              </w:rPr>
            </w:pPr>
            <w:r w:rsidRPr="009D5D1B">
              <w:rPr>
                <w:noProof/>
                <w:spacing w:val="1"/>
                <w:sz w:val="20"/>
              </w:rPr>
              <mc:AlternateContent>
                <mc:Choice Requires="wps">
                  <w:drawing>
                    <wp:anchor distT="0" distB="0" distL="114300" distR="114300" simplePos="0" relativeHeight="251657728" behindDoc="0" locked="0" layoutInCell="1" allowOverlap="1">
                      <wp:simplePos x="0" y="0"/>
                      <wp:positionH relativeFrom="column">
                        <wp:posOffset>2027555</wp:posOffset>
                      </wp:positionH>
                      <wp:positionV relativeFrom="paragraph">
                        <wp:posOffset>28575</wp:posOffset>
                      </wp:positionV>
                      <wp:extent cx="273050" cy="11531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1153160"/>
                              </a:xfrm>
                              <a:prstGeom prst="rightBrace">
                                <a:avLst>
                                  <a:gd name="adj1" fmla="val 351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A5C9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159.65pt;margin-top:2.25pt;width:21.5pt;height: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"/>
                  </w:pict>
                </mc:Fallback>
              </mc:AlternateContent>
            </w:r>
            <w:r w:rsidR="00AF64CC" w:rsidRPr="009D5D1B">
              <w:rPr>
                <w:rFonts w:hint="eastAsia"/>
              </w:rPr>
              <w:t>各部</w:t>
            </w:r>
            <w:r w:rsidR="003210AA">
              <w:rPr>
                <w:rFonts w:hint="eastAsia"/>
              </w:rPr>
              <w:t>（局）</w:t>
            </w:r>
            <w:r w:rsidR="00AF64CC" w:rsidRPr="009D5D1B">
              <w:rPr>
                <w:rFonts w:hint="eastAsia"/>
              </w:rPr>
              <w:t>長</w:t>
            </w:r>
          </w:p>
          <w:p w:rsidR="00AF64CC" w:rsidRPr="009D5D1B" w:rsidRDefault="007A688C" w:rsidP="00B53076">
            <w:pPr>
              <w:kinsoku w:val="0"/>
              <w:overflowPunct w:val="0"/>
              <w:snapToGrid w:val="0"/>
              <w:spacing w:afterLines="25" w:after="107" w:line="300" w:lineRule="auto"/>
              <w:ind w:rightChars="156" w:right="442"/>
              <w:jc w:val="distribute"/>
              <w:rPr>
                <w:rFonts w:hint="eastAsia"/>
              </w:rPr>
            </w:pPr>
            <w:r w:rsidRPr="009D5D1B">
              <w:rPr>
                <w:rFonts w:hint="eastAsia"/>
              </w:rPr>
              <w:t>会計管理者</w:t>
            </w:r>
          </w:p>
          <w:p w:rsidR="00AF64CC" w:rsidRPr="009D5D1B" w:rsidRDefault="00AF64CC" w:rsidP="00B53076">
            <w:pPr>
              <w:snapToGrid w:val="0"/>
              <w:spacing w:afterLines="25" w:after="107" w:line="300" w:lineRule="auto"/>
              <w:ind w:rightChars="156" w:right="442"/>
              <w:jc w:val="distribute"/>
              <w:rPr>
                <w:rFonts w:hint="eastAsia"/>
                <w:spacing w:val="1"/>
              </w:rPr>
            </w:pPr>
            <w:r w:rsidRPr="009D5D1B">
              <w:rPr>
                <w:rFonts w:hint="eastAsia"/>
              </w:rPr>
              <w:t>教育長</w:t>
            </w:r>
          </w:p>
          <w:p w:rsidR="00AF64CC" w:rsidRPr="009D5D1B" w:rsidRDefault="00CB771E" w:rsidP="00B53076">
            <w:pPr>
              <w:kinsoku w:val="0"/>
              <w:overflowPunct w:val="0"/>
              <w:snapToGrid w:val="0"/>
              <w:spacing w:afterLines="25" w:after="107" w:line="300" w:lineRule="auto"/>
              <w:ind w:rightChars="156" w:right="442"/>
              <w:rPr>
                <w:rFonts w:hint="eastAsia"/>
                <w:spacing w:val="2"/>
                <w:w w:val="90"/>
              </w:rPr>
            </w:pPr>
            <w:r w:rsidRPr="009D5D1B">
              <w:rPr>
                <w:rFonts w:hint="eastAsia"/>
                <w:spacing w:val="-20"/>
                <w:w w:val="90"/>
              </w:rPr>
              <w:t>各行政委員</w:t>
            </w:r>
            <w:r w:rsidR="00557673" w:rsidRPr="009D5D1B">
              <w:rPr>
                <w:rFonts w:hint="eastAsia"/>
                <w:spacing w:val="-20"/>
                <w:w w:val="90"/>
              </w:rPr>
              <w:t>（</w:t>
            </w:r>
            <w:r w:rsidRPr="009D5D1B">
              <w:rPr>
                <w:rFonts w:hint="eastAsia"/>
                <w:spacing w:val="-20"/>
                <w:w w:val="90"/>
              </w:rPr>
              <w:t>会</w:t>
            </w:r>
            <w:r w:rsidR="00557673" w:rsidRPr="009D5D1B">
              <w:rPr>
                <w:rFonts w:hint="eastAsia"/>
                <w:spacing w:val="-20"/>
                <w:w w:val="90"/>
              </w:rPr>
              <w:t>）</w:t>
            </w:r>
            <w:r w:rsidR="007A688C" w:rsidRPr="009D5D1B">
              <w:rPr>
                <w:rFonts w:hint="eastAsia"/>
                <w:spacing w:val="-20"/>
                <w:w w:val="90"/>
              </w:rPr>
              <w:t>・議会</w:t>
            </w:r>
            <w:r w:rsidR="00AF64CC" w:rsidRPr="009D5D1B">
              <w:rPr>
                <w:rFonts w:hint="eastAsia"/>
                <w:spacing w:val="-20"/>
                <w:w w:val="90"/>
              </w:rPr>
              <w:t>事務局長</w:t>
            </w:r>
          </w:p>
        </w:tc>
        <w:tc>
          <w:tcPr>
            <w:tcW w:w="3632" w:type="dxa"/>
            <w:tcBorders>
              <w:top w:val="nil"/>
              <w:left w:val="nil"/>
              <w:bottom w:val="nil"/>
              <w:right w:val="nil"/>
            </w:tcBorders>
            <w:vAlign w:val="center"/>
          </w:tcPr>
          <w:p w:rsidR="00AF64CC" w:rsidRPr="009D5D1B" w:rsidRDefault="00AF64CC" w:rsidP="00FD6AB7">
            <w:pPr>
              <w:kinsoku w:val="0"/>
              <w:overflowPunct w:val="0"/>
              <w:snapToGrid w:val="0"/>
              <w:spacing w:line="300" w:lineRule="auto"/>
              <w:ind w:right="645"/>
              <w:rPr>
                <w:rFonts w:hint="eastAsia"/>
                <w:spacing w:val="2"/>
              </w:rPr>
            </w:pPr>
            <w:r w:rsidRPr="009D5D1B">
              <w:rPr>
                <w:rFonts w:hint="eastAsia"/>
                <w:spacing w:val="1"/>
              </w:rPr>
              <w:t xml:space="preserve">　様</w:t>
            </w:r>
          </w:p>
        </w:tc>
      </w:tr>
    </w:tbl>
    <w:p w:rsidR="00361B7F" w:rsidRDefault="00361B7F" w:rsidP="00B53076">
      <w:pPr>
        <w:tabs>
          <w:tab w:val="left" w:pos="6226"/>
        </w:tabs>
        <w:kinsoku w:val="0"/>
        <w:overflowPunct w:val="0"/>
        <w:snapToGrid w:val="0"/>
        <w:spacing w:beforeLines="25" w:before="107" w:afterLines="25" w:after="107" w:line="300" w:lineRule="auto"/>
        <w:ind w:leftChars="2200" w:left="6235" w:rightChars="152" w:right="431"/>
        <w:jc w:val="distribute"/>
        <w:rPr>
          <w:rFonts w:hint="eastAsia"/>
          <w:spacing w:val="20"/>
        </w:rPr>
      </w:pPr>
    </w:p>
    <w:p w:rsidR="00AF64CC" w:rsidRPr="009D5D1B" w:rsidRDefault="00AF64CC" w:rsidP="00B53076">
      <w:pPr>
        <w:tabs>
          <w:tab w:val="left" w:pos="6226"/>
        </w:tabs>
        <w:kinsoku w:val="0"/>
        <w:overflowPunct w:val="0"/>
        <w:snapToGrid w:val="0"/>
        <w:spacing w:beforeLines="25" w:before="107" w:afterLines="25" w:after="107" w:line="300" w:lineRule="auto"/>
        <w:ind w:leftChars="2200" w:left="6235" w:rightChars="152" w:right="431"/>
        <w:jc w:val="distribute"/>
        <w:rPr>
          <w:rFonts w:hint="eastAsia"/>
          <w:spacing w:val="20"/>
        </w:rPr>
      </w:pPr>
      <w:r w:rsidRPr="009D5D1B">
        <w:rPr>
          <w:rFonts w:hint="eastAsia"/>
          <w:spacing w:val="20"/>
        </w:rPr>
        <w:t>総務部長</w:t>
      </w:r>
    </w:p>
    <w:p w:rsidR="00AF64CC" w:rsidRDefault="00AF64CC" w:rsidP="00FD6AB7">
      <w:pPr>
        <w:kinsoku w:val="0"/>
        <w:overflowPunct w:val="0"/>
        <w:snapToGrid w:val="0"/>
        <w:spacing w:line="300" w:lineRule="auto"/>
        <w:ind w:right="646"/>
        <w:rPr>
          <w:rFonts w:hint="eastAsia"/>
          <w:spacing w:val="2"/>
        </w:rPr>
      </w:pPr>
    </w:p>
    <w:p w:rsidR="004A3FB4" w:rsidRPr="00912B6D" w:rsidRDefault="004A3FB4" w:rsidP="00FD6AB7">
      <w:pPr>
        <w:kinsoku w:val="0"/>
        <w:overflowPunct w:val="0"/>
        <w:snapToGrid w:val="0"/>
        <w:spacing w:line="300" w:lineRule="auto"/>
        <w:ind w:right="646"/>
        <w:rPr>
          <w:rFonts w:hint="eastAsia"/>
          <w:spacing w:val="2"/>
        </w:rPr>
      </w:pPr>
    </w:p>
    <w:p w:rsidR="00990BE6" w:rsidRPr="00E805E6" w:rsidRDefault="00BA58AC" w:rsidP="003210AA">
      <w:pPr>
        <w:kinsoku w:val="0"/>
        <w:overflowPunct w:val="0"/>
        <w:snapToGrid w:val="0"/>
        <w:spacing w:line="300" w:lineRule="auto"/>
        <w:ind w:right="-11"/>
        <w:jc w:val="center"/>
        <w:rPr>
          <w:rFonts w:hint="eastAsia"/>
          <w:spacing w:val="30"/>
        </w:rPr>
      </w:pPr>
      <w:r w:rsidRPr="00E805E6">
        <w:rPr>
          <w:rFonts w:hint="eastAsia"/>
          <w:spacing w:val="30"/>
        </w:rPr>
        <w:t>令和</w:t>
      </w:r>
      <w:r w:rsidR="006268D9">
        <w:rPr>
          <w:rFonts w:hint="eastAsia"/>
          <w:spacing w:val="30"/>
        </w:rPr>
        <w:t>５</w:t>
      </w:r>
      <w:r w:rsidR="00990BE6" w:rsidRPr="00E805E6">
        <w:rPr>
          <w:rFonts w:hint="eastAsia"/>
          <w:spacing w:val="30"/>
        </w:rPr>
        <w:t>年度人員体制</w:t>
      </w:r>
      <w:r w:rsidR="00C24991" w:rsidRPr="00E805E6">
        <w:rPr>
          <w:rFonts w:hint="eastAsia"/>
          <w:spacing w:val="30"/>
        </w:rPr>
        <w:t>の</w:t>
      </w:r>
      <w:r w:rsidR="00422BEF" w:rsidRPr="00E805E6">
        <w:rPr>
          <w:rFonts w:hint="eastAsia"/>
          <w:spacing w:val="30"/>
        </w:rPr>
        <w:t>編成</w:t>
      </w:r>
      <w:r w:rsidR="005F6CEA" w:rsidRPr="00E805E6">
        <w:rPr>
          <w:rFonts w:hint="eastAsia"/>
          <w:spacing w:val="30"/>
        </w:rPr>
        <w:t>について</w:t>
      </w:r>
      <w:r w:rsidR="00AA07ED" w:rsidRPr="00E805E6">
        <w:rPr>
          <w:rFonts w:hint="eastAsia"/>
          <w:spacing w:val="30"/>
        </w:rPr>
        <w:t>（通知</w:t>
      </w:r>
      <w:r w:rsidR="00AF64CC" w:rsidRPr="00E805E6">
        <w:rPr>
          <w:rFonts w:hint="eastAsia"/>
          <w:spacing w:val="30"/>
        </w:rPr>
        <w:t>）</w:t>
      </w:r>
    </w:p>
    <w:p w:rsidR="003210AA" w:rsidRPr="00E805E6" w:rsidRDefault="003210AA" w:rsidP="00990BE6">
      <w:pPr>
        <w:snapToGrid w:val="0"/>
        <w:spacing w:line="300" w:lineRule="auto"/>
        <w:ind w:leftChars="96" w:left="272" w:firstLineChars="100" w:firstLine="273"/>
        <w:rPr>
          <w:sz w:val="23"/>
          <w:szCs w:val="23"/>
        </w:rPr>
      </w:pPr>
    </w:p>
    <w:p w:rsidR="008A0CFD" w:rsidRDefault="008451E3" w:rsidP="00990BE6">
      <w:pPr>
        <w:snapToGrid w:val="0"/>
        <w:spacing w:line="300" w:lineRule="auto"/>
        <w:ind w:leftChars="96" w:left="272" w:firstLineChars="100" w:firstLine="273"/>
        <w:rPr>
          <w:rFonts w:hAnsi="ＭＳ 明朝"/>
          <w:sz w:val="23"/>
          <w:szCs w:val="23"/>
        </w:rPr>
      </w:pPr>
      <w:r>
        <w:rPr>
          <w:rFonts w:hint="eastAsia"/>
          <w:sz w:val="23"/>
          <w:szCs w:val="23"/>
        </w:rPr>
        <w:t>標記について、知事の決裁を受けて、別紙のとおり人員体制編成要領を定めたので、通知します。</w:t>
      </w:r>
    </w:p>
    <w:p w:rsidR="006268D9" w:rsidRPr="007B5D1C" w:rsidRDefault="00E53C08" w:rsidP="006268D9">
      <w:pPr>
        <w:spacing w:line="240" w:lineRule="auto"/>
        <w:jc w:val="center"/>
        <w:rPr>
          <w:rFonts w:ascii="ＭＳ Ｐ明朝" w:eastAsia="ＭＳ Ｐ明朝" w:hAnsi="ＭＳ Ｐ明朝" w:hint="eastAsia"/>
        </w:rPr>
      </w:pPr>
      <w:r>
        <w:rPr>
          <w:rFonts w:hAnsi="ＭＳ 明朝"/>
          <w:sz w:val="23"/>
          <w:szCs w:val="23"/>
        </w:rPr>
        <w:br w:type="page"/>
      </w:r>
      <w:r w:rsidR="006268D9" w:rsidRPr="007B5D1C">
        <w:rPr>
          <w:rFonts w:ascii="ＭＳ Ｐゴシック" w:eastAsia="ＭＳ Ｐゴシック" w:hAnsi="ＭＳ Ｐゴシック" w:hint="eastAsia"/>
          <w:b/>
        </w:rPr>
        <w:lastRenderedPageBreak/>
        <w:t>令和</w:t>
      </w:r>
      <w:r w:rsidR="006268D9">
        <w:rPr>
          <w:rFonts w:ascii="ＭＳ Ｐゴシック" w:eastAsia="ＭＳ Ｐゴシック" w:hAnsi="ＭＳ Ｐゴシック" w:hint="eastAsia"/>
          <w:b/>
        </w:rPr>
        <w:t>５</w:t>
      </w:r>
      <w:r w:rsidR="006268D9" w:rsidRPr="007B5D1C">
        <w:rPr>
          <w:rFonts w:ascii="ＭＳ Ｐゴシック" w:eastAsia="ＭＳ Ｐゴシック" w:hAnsi="ＭＳ Ｐゴシック" w:hint="eastAsia"/>
          <w:b/>
        </w:rPr>
        <w:t>年度　人員体制編成要領</w:t>
      </w:r>
    </w:p>
    <w:p w:rsidR="006268D9" w:rsidRPr="007B5D1C" w:rsidRDefault="006268D9" w:rsidP="006268D9">
      <w:pPr>
        <w:spacing w:line="240" w:lineRule="auto"/>
        <w:rPr>
          <w:rFonts w:ascii="ＭＳ Ｐ明朝" w:eastAsia="ＭＳ Ｐ明朝" w:hAnsi="ＭＳ Ｐ明朝" w:hint="eastAsia"/>
        </w:rPr>
      </w:pPr>
    </w:p>
    <w:p w:rsidR="006268D9" w:rsidRPr="007B5D1C" w:rsidRDefault="006268D9" w:rsidP="006268D9">
      <w:pPr>
        <w:spacing w:line="240" w:lineRule="auto"/>
        <w:ind w:firstLineChars="100" w:firstLine="283"/>
        <w:rPr>
          <w:rFonts w:ascii="ＭＳ Ｐ明朝" w:eastAsia="ＭＳ Ｐ明朝" w:hAnsi="ＭＳ Ｐ明朝" w:hint="eastAsia"/>
        </w:rPr>
      </w:pPr>
      <w:r>
        <w:rPr>
          <w:rFonts w:ascii="ＭＳ Ｐ明朝" w:eastAsia="ＭＳ Ｐ明朝" w:hAnsi="ＭＳ Ｐ明朝" w:hint="eastAsia"/>
        </w:rPr>
        <w:t>「府政運営の基本方針２０２３</w:t>
      </w:r>
      <w:r w:rsidRPr="002A0660">
        <w:rPr>
          <w:rFonts w:ascii="ＭＳ Ｐ明朝" w:eastAsia="ＭＳ Ｐ明朝" w:hAnsi="ＭＳ Ｐ明朝" w:hint="eastAsia"/>
        </w:rPr>
        <w:t>」</w:t>
      </w:r>
      <w:r>
        <w:rPr>
          <w:rFonts w:ascii="ＭＳ Ｐ明朝" w:eastAsia="ＭＳ Ｐ明朝" w:hAnsi="ＭＳ Ｐ明朝" w:hint="eastAsia"/>
        </w:rPr>
        <w:t>（案）</w:t>
      </w:r>
      <w:r w:rsidRPr="007B5D1C">
        <w:rPr>
          <w:rFonts w:ascii="ＭＳ Ｐ明朝" w:eastAsia="ＭＳ Ｐ明朝" w:hAnsi="ＭＳ Ｐ明朝" w:hint="eastAsia"/>
        </w:rPr>
        <w:t>を踏まえ、令和</w:t>
      </w:r>
      <w:r>
        <w:rPr>
          <w:rFonts w:ascii="ＭＳ Ｐ明朝" w:eastAsia="ＭＳ Ｐ明朝" w:hAnsi="ＭＳ Ｐ明朝" w:hint="eastAsia"/>
        </w:rPr>
        <w:t>５</w:t>
      </w:r>
      <w:r w:rsidRPr="007B5D1C">
        <w:rPr>
          <w:rFonts w:ascii="ＭＳ Ｐ明朝" w:eastAsia="ＭＳ Ｐ明朝" w:hAnsi="ＭＳ Ｐ明朝" w:hint="eastAsia"/>
        </w:rPr>
        <w:t>年度の一般行政部門における人員体制は、下記の要領により編成するものとする。</w:t>
      </w:r>
    </w:p>
    <w:p w:rsidR="006268D9" w:rsidRPr="00CD1159" w:rsidRDefault="006268D9" w:rsidP="006268D9">
      <w:pPr>
        <w:spacing w:line="240" w:lineRule="auto"/>
        <w:rPr>
          <w:rFonts w:ascii="ＭＳ Ｐ明朝" w:eastAsia="ＭＳ Ｐ明朝" w:hAnsi="ＭＳ Ｐ明朝" w:hint="eastAsia"/>
        </w:rPr>
      </w:pPr>
    </w:p>
    <w:p w:rsidR="006268D9" w:rsidRPr="007B5D1C" w:rsidRDefault="006268D9" w:rsidP="006268D9">
      <w:pPr>
        <w:spacing w:line="240" w:lineRule="auto"/>
        <w:jc w:val="center"/>
        <w:rPr>
          <w:rFonts w:ascii="ＭＳ Ｐ明朝" w:eastAsia="ＭＳ Ｐ明朝" w:hAnsi="ＭＳ Ｐ明朝" w:hint="eastAsia"/>
        </w:rPr>
      </w:pPr>
      <w:r w:rsidRPr="007B5D1C">
        <w:rPr>
          <w:rFonts w:ascii="ＭＳ Ｐ明朝" w:eastAsia="ＭＳ Ｐ明朝" w:hAnsi="ＭＳ Ｐ明朝" w:hint="eastAsia"/>
        </w:rPr>
        <w:t>記</w:t>
      </w:r>
    </w:p>
    <w:p w:rsidR="006268D9" w:rsidRPr="007B5D1C" w:rsidRDefault="006268D9" w:rsidP="006268D9">
      <w:pPr>
        <w:spacing w:line="240" w:lineRule="auto"/>
        <w:rPr>
          <w:rFonts w:ascii="ＭＳ Ｐ明朝" w:eastAsia="ＭＳ Ｐ明朝" w:hAnsi="ＭＳ Ｐ明朝" w:hint="eastAsia"/>
        </w:rPr>
      </w:pPr>
    </w:p>
    <w:p w:rsidR="006268D9" w:rsidRPr="007B5D1C" w:rsidRDefault="006268D9" w:rsidP="006268D9">
      <w:pPr>
        <w:spacing w:line="240" w:lineRule="auto"/>
        <w:rPr>
          <w:rFonts w:ascii="ＭＳ Ｐゴシック" w:eastAsia="ＭＳ Ｐゴシック" w:hAnsi="ＭＳ Ｐゴシック" w:hint="eastAsia"/>
          <w:b/>
        </w:rPr>
      </w:pPr>
      <w:r w:rsidRPr="007B5D1C">
        <w:rPr>
          <w:rFonts w:ascii="ＭＳ Ｐゴシック" w:eastAsia="ＭＳ Ｐゴシック" w:hAnsi="ＭＳ Ｐゴシック" w:hint="eastAsia"/>
          <w:b/>
        </w:rPr>
        <w:t>１．組織の再構築</w:t>
      </w:r>
    </w:p>
    <w:p w:rsidR="006268D9" w:rsidRPr="007B5D1C" w:rsidRDefault="006268D9" w:rsidP="006268D9">
      <w:pPr>
        <w:spacing w:line="240" w:lineRule="auto"/>
        <w:ind w:leftChars="50" w:left="284" w:hangingChars="50" w:hanging="142"/>
        <w:rPr>
          <w:rFonts w:ascii="ＭＳ ゴシック" w:hAnsi="ＭＳ ゴシック" w:hint="eastAsia"/>
        </w:rPr>
      </w:pPr>
      <w:r w:rsidRPr="007B5D1C">
        <w:rPr>
          <w:rFonts w:ascii="ＭＳ ゴシック" w:hAnsi="ＭＳ ゴシック" w:hint="eastAsia"/>
        </w:rPr>
        <w:t>・府政の重要課題に適切に対応するとともに、効率的かつ効果的な行政運営を図るため、必要な組織体制の整備を行う。</w:t>
      </w:r>
    </w:p>
    <w:p w:rsidR="006268D9" w:rsidRPr="007B5D1C" w:rsidRDefault="006268D9" w:rsidP="006268D9">
      <w:pPr>
        <w:spacing w:line="240" w:lineRule="auto"/>
        <w:ind w:leftChars="50" w:left="284" w:hangingChars="50" w:hanging="142"/>
        <w:rPr>
          <w:rFonts w:ascii="ＭＳ ゴシック" w:hAnsi="ＭＳ ゴシック"/>
        </w:rPr>
      </w:pPr>
      <w:r w:rsidRPr="007B5D1C">
        <w:rPr>
          <w:rFonts w:ascii="ＭＳ ゴシック" w:hAnsi="ＭＳ ゴシック" w:hint="eastAsia"/>
        </w:rPr>
        <w:t>・部局内の組織改正は、組織のスリム化に留意の上、その必要性を精査し、府民にわかりやすい編成とすること。</w:t>
      </w:r>
    </w:p>
    <w:p w:rsidR="006268D9" w:rsidRPr="00DE03FA" w:rsidRDefault="006268D9" w:rsidP="00DE03FA">
      <w:pPr>
        <w:spacing w:beforeLines="100" w:before="431" w:line="120" w:lineRule="exact"/>
        <w:ind w:left="170" w:hangingChars="70" w:hanging="170"/>
        <w:rPr>
          <w:rFonts w:ascii="ＭＳ ゴシック" w:hAnsi="ＭＳ ゴシック" w:hint="eastAsia"/>
          <w:sz w:val="20"/>
        </w:rPr>
      </w:pPr>
    </w:p>
    <w:p w:rsidR="006268D9" w:rsidRPr="007B5D1C" w:rsidRDefault="006268D9" w:rsidP="006268D9">
      <w:pPr>
        <w:spacing w:line="240" w:lineRule="auto"/>
        <w:rPr>
          <w:rFonts w:ascii="ＭＳ Ｐゴシック" w:eastAsia="ＭＳ Ｐゴシック" w:hAnsi="ＭＳ Ｐゴシック" w:hint="eastAsia"/>
          <w:b/>
        </w:rPr>
      </w:pPr>
      <w:r w:rsidRPr="007B5D1C">
        <w:rPr>
          <w:rFonts w:ascii="ＭＳ Ｐゴシック" w:eastAsia="ＭＳ Ｐゴシック" w:hAnsi="ＭＳ Ｐゴシック" w:hint="eastAsia"/>
          <w:b/>
        </w:rPr>
        <w:t>２．ポスト管理</w:t>
      </w:r>
    </w:p>
    <w:p w:rsidR="006268D9" w:rsidRPr="007B5D1C" w:rsidRDefault="006268D9" w:rsidP="006268D9">
      <w:pPr>
        <w:spacing w:line="240" w:lineRule="auto"/>
        <w:ind w:leftChars="50" w:left="284" w:hangingChars="50" w:hanging="142"/>
        <w:rPr>
          <w:rFonts w:ascii="ＭＳ ゴシック" w:hAnsi="ＭＳ ゴシック" w:hint="eastAsia"/>
        </w:rPr>
      </w:pPr>
      <w:r w:rsidRPr="007B5D1C">
        <w:rPr>
          <w:rFonts w:ascii="ＭＳ ゴシック" w:hAnsi="ＭＳ ゴシック" w:hint="eastAsia"/>
        </w:rPr>
        <w:t>・組織のスリム化と意思決定の迅速化を図るため、理事・副理事・参事については、真に必要な職制のみを特命事項・配置期間を明確にした上で配置する。</w:t>
      </w:r>
    </w:p>
    <w:p w:rsidR="006268D9" w:rsidRPr="007B5D1C" w:rsidRDefault="006268D9" w:rsidP="006268D9">
      <w:pPr>
        <w:spacing w:line="240" w:lineRule="auto"/>
        <w:ind w:leftChars="50" w:left="284" w:hangingChars="50" w:hanging="142"/>
        <w:rPr>
          <w:rFonts w:ascii="ＭＳ ゴシック" w:hAnsi="ＭＳ ゴシック"/>
        </w:rPr>
      </w:pPr>
      <w:r w:rsidRPr="007B5D1C">
        <w:rPr>
          <w:rFonts w:ascii="ＭＳ ゴシック" w:hAnsi="ＭＳ ゴシック" w:hint="eastAsia"/>
        </w:rPr>
        <w:t>・</w:t>
      </w:r>
      <w:r>
        <w:rPr>
          <w:rFonts w:ascii="ＭＳ ゴシック" w:hAnsi="ＭＳ ゴシック" w:hint="eastAsia"/>
        </w:rPr>
        <w:t>既存職制であってもその必要性を厳しく精査し、廃止や職階の振り下げを行った上で、各部局における新たな職制については、万博に向けた取組みなど特定の重要課題を除き、更なるスクラップアンドビルドを前提とし、令和４年度と比較して減少させること。</w:t>
      </w:r>
    </w:p>
    <w:p w:rsidR="006268D9" w:rsidRPr="007B5D1C" w:rsidRDefault="006268D9" w:rsidP="006268D9">
      <w:pPr>
        <w:spacing w:line="240" w:lineRule="auto"/>
        <w:ind w:leftChars="50" w:left="284" w:hangingChars="50" w:hanging="142"/>
        <w:rPr>
          <w:rFonts w:hAnsi="ＭＳ 明朝" w:hint="eastAsia"/>
        </w:rPr>
      </w:pPr>
      <w:r>
        <w:rPr>
          <w:rFonts w:hAnsi="ＭＳ 明朝" w:hint="eastAsia"/>
        </w:rPr>
        <w:t>・なお、行政職については、職員の年齢構成の変化に対応しつつ、特定の重要課題に着実</w:t>
      </w:r>
      <w:r w:rsidR="003450F7">
        <w:rPr>
          <w:rFonts w:hAnsi="ＭＳ 明朝" w:hint="eastAsia"/>
        </w:rPr>
        <w:t>に取り組む必要性から、課長補佐級以上のポストの削減目標</w:t>
      </w:r>
      <w:r>
        <w:rPr>
          <w:rFonts w:hAnsi="ＭＳ 明朝" w:hint="eastAsia"/>
        </w:rPr>
        <w:t>を設定する。</w:t>
      </w:r>
      <w:r w:rsidR="00DE03FA">
        <w:rPr>
          <w:rFonts w:hAnsi="ＭＳ 明朝" w:hint="eastAsia"/>
        </w:rPr>
        <w:t>（具体的な削減目標については別途お知らせする。</w:t>
      </w:r>
      <w:r w:rsidR="003450F7">
        <w:rPr>
          <w:rFonts w:hAnsi="ＭＳ 明朝" w:hint="eastAsia"/>
        </w:rPr>
        <w:t>）</w:t>
      </w:r>
    </w:p>
    <w:p w:rsidR="006268D9" w:rsidRPr="007B5D1C" w:rsidRDefault="006268D9" w:rsidP="00DE03FA">
      <w:pPr>
        <w:spacing w:beforeLines="100" w:before="431" w:line="120" w:lineRule="exact"/>
        <w:ind w:leftChars="50" w:left="284" w:hangingChars="50" w:hanging="142"/>
        <w:rPr>
          <w:rFonts w:hAnsi="ＭＳ 明朝" w:hint="eastAsia"/>
        </w:rPr>
      </w:pPr>
    </w:p>
    <w:p w:rsidR="006268D9" w:rsidRPr="007B5D1C" w:rsidRDefault="006268D9" w:rsidP="006268D9">
      <w:pPr>
        <w:spacing w:line="240" w:lineRule="auto"/>
        <w:ind w:leftChars="50" w:left="284" w:hangingChars="50" w:hanging="142"/>
        <w:rPr>
          <w:rFonts w:ascii="ＭＳ Ｐゴシック" w:eastAsia="ＭＳ Ｐゴシック" w:hAnsi="ＭＳ Ｐゴシック" w:hint="eastAsia"/>
          <w:b/>
        </w:rPr>
      </w:pPr>
      <w:r w:rsidRPr="007B5D1C">
        <w:rPr>
          <w:rFonts w:ascii="ＭＳ Ｐゴシック" w:eastAsia="ＭＳ Ｐゴシック" w:hAnsi="ＭＳ Ｐゴシック" w:hint="eastAsia"/>
          <w:b/>
        </w:rPr>
        <w:t>３．職員数</w:t>
      </w:r>
    </w:p>
    <w:p w:rsidR="006268D9" w:rsidRPr="007B5D1C" w:rsidRDefault="006268D9" w:rsidP="006268D9">
      <w:pPr>
        <w:spacing w:line="240" w:lineRule="auto"/>
        <w:ind w:leftChars="50" w:left="284" w:hangingChars="50" w:hanging="142"/>
        <w:rPr>
          <w:rFonts w:hAnsi="ＭＳ 明朝" w:hint="eastAsia"/>
        </w:rPr>
      </w:pPr>
      <w:r w:rsidRPr="007B5D1C">
        <w:rPr>
          <w:rFonts w:hAnsi="ＭＳ 明朝" w:hint="eastAsia"/>
        </w:rPr>
        <w:t>・引き続き、民間との連携やＩＣＴの活用による業務改革などを進め、事務事業の見直しや事務の効率化等により組織のスリム化に努めることとする。</w:t>
      </w:r>
    </w:p>
    <w:p w:rsidR="006268D9" w:rsidRDefault="006268D9" w:rsidP="006268D9">
      <w:pPr>
        <w:spacing w:line="240" w:lineRule="auto"/>
        <w:ind w:leftChars="50" w:left="284" w:hangingChars="50" w:hanging="142"/>
        <w:rPr>
          <w:rFonts w:hAnsi="ＭＳ 明朝"/>
        </w:rPr>
      </w:pPr>
      <w:r w:rsidRPr="007B5D1C">
        <w:rPr>
          <w:rFonts w:hAnsi="ＭＳ 明朝" w:hint="eastAsia"/>
        </w:rPr>
        <w:t>・今回の編成作業にあたっては、</w:t>
      </w:r>
      <w:r>
        <w:rPr>
          <w:rFonts w:hAnsi="ＭＳ 明朝" w:hint="eastAsia"/>
        </w:rPr>
        <w:t>令和４年度定数の範囲内での人員配置を基本とし、特定の重要課題を除き、新たな人員配置を必要とする行政需要等への対応については、各部局内でのスクラップアンドビルドにより対応すること。</w:t>
      </w:r>
    </w:p>
    <w:p w:rsidR="00C71B77" w:rsidRDefault="00C71B77" w:rsidP="006268D9">
      <w:pPr>
        <w:spacing w:line="240" w:lineRule="auto"/>
        <w:ind w:leftChars="50" w:left="284" w:hangingChars="50" w:hanging="142"/>
        <w:rPr>
          <w:rFonts w:hAnsi="ＭＳ 明朝"/>
        </w:rPr>
      </w:pPr>
    </w:p>
    <w:p w:rsidR="00C71B77" w:rsidRDefault="00C71B77" w:rsidP="006268D9">
      <w:pPr>
        <w:spacing w:line="240" w:lineRule="auto"/>
        <w:ind w:leftChars="50" w:left="284" w:hangingChars="50" w:hanging="142"/>
        <w:rPr>
          <w:rFonts w:hAnsi="ＭＳ 明朝"/>
        </w:rPr>
      </w:pPr>
    </w:p>
    <w:p w:rsidR="00C71B77" w:rsidRDefault="00C71B77" w:rsidP="006268D9">
      <w:pPr>
        <w:spacing w:line="240" w:lineRule="auto"/>
        <w:ind w:leftChars="50" w:left="284" w:hangingChars="50" w:hanging="142"/>
        <w:rPr>
          <w:rFonts w:hAnsi="ＭＳ 明朝"/>
        </w:rPr>
      </w:pPr>
    </w:p>
    <w:p w:rsidR="006268D9" w:rsidRPr="007B5D1C" w:rsidRDefault="006268D9" w:rsidP="006268D9">
      <w:pPr>
        <w:spacing w:line="240" w:lineRule="auto"/>
        <w:ind w:leftChars="50" w:left="284" w:hangingChars="50" w:hanging="142"/>
        <w:rPr>
          <w:rFonts w:hAnsi="ＭＳ 明朝" w:hint="eastAsia"/>
        </w:rPr>
      </w:pPr>
      <w:r>
        <w:rPr>
          <w:rFonts w:hAnsi="ＭＳ 明朝" w:hint="eastAsia"/>
        </w:rPr>
        <w:t>・ただし、行政職については、特定</w:t>
      </w:r>
      <w:r w:rsidR="003450F7">
        <w:rPr>
          <w:rFonts w:hAnsi="ＭＳ 明朝" w:hint="eastAsia"/>
        </w:rPr>
        <w:t>の重要課題に重点的に人員を配置する必要性から、削減目標</w:t>
      </w:r>
      <w:r>
        <w:rPr>
          <w:rFonts w:hAnsi="ＭＳ 明朝" w:hint="eastAsia"/>
        </w:rPr>
        <w:t>を設定する。</w:t>
      </w:r>
      <w:r w:rsidR="00DE03FA">
        <w:rPr>
          <w:rFonts w:hAnsi="ＭＳ 明朝" w:hint="eastAsia"/>
        </w:rPr>
        <w:t>（具体的な削減目標については別途お知らせする。</w:t>
      </w:r>
      <w:r w:rsidR="003450F7">
        <w:rPr>
          <w:rFonts w:hAnsi="ＭＳ 明朝" w:hint="eastAsia"/>
        </w:rPr>
        <w:t>）</w:t>
      </w:r>
    </w:p>
    <w:p w:rsidR="006268D9" w:rsidRPr="007B5D1C" w:rsidRDefault="006268D9" w:rsidP="00DE03FA">
      <w:pPr>
        <w:spacing w:beforeLines="100" w:before="431" w:line="120" w:lineRule="exact"/>
        <w:ind w:leftChars="50" w:left="425" w:hangingChars="100" w:hanging="283"/>
        <w:rPr>
          <w:rFonts w:hAnsi="ＭＳ 明朝" w:hint="eastAsia"/>
        </w:rPr>
      </w:pPr>
    </w:p>
    <w:p w:rsidR="006268D9" w:rsidRPr="007B5D1C" w:rsidRDefault="006268D9" w:rsidP="006268D9">
      <w:pPr>
        <w:spacing w:line="240" w:lineRule="auto"/>
        <w:ind w:leftChars="50" w:left="284" w:hangingChars="50" w:hanging="142"/>
        <w:rPr>
          <w:rFonts w:ascii="ＭＳ Ｐゴシック" w:eastAsia="ＭＳ Ｐゴシック" w:hAnsi="ＭＳ Ｐゴシック" w:hint="eastAsia"/>
          <w:b/>
        </w:rPr>
      </w:pPr>
      <w:r w:rsidRPr="007B5D1C">
        <w:rPr>
          <w:rFonts w:ascii="ＭＳ Ｐゴシック" w:eastAsia="ＭＳ Ｐゴシック" w:hAnsi="ＭＳ Ｐゴシック" w:hint="eastAsia"/>
          <w:b/>
        </w:rPr>
        <w:t>４．部局長マネジメント等</w:t>
      </w:r>
    </w:p>
    <w:p w:rsidR="006268D9" w:rsidRPr="007B5D1C" w:rsidRDefault="006268D9" w:rsidP="006268D9">
      <w:pPr>
        <w:spacing w:line="240" w:lineRule="auto"/>
        <w:ind w:leftChars="50" w:left="284" w:hangingChars="50" w:hanging="142"/>
        <w:rPr>
          <w:rFonts w:ascii="ＭＳ ゴシック" w:hAnsi="ＭＳ ゴシック" w:hint="eastAsia"/>
        </w:rPr>
      </w:pPr>
      <w:r w:rsidRPr="007B5D1C">
        <w:rPr>
          <w:rFonts w:ascii="ＭＳ ゴシック" w:hAnsi="ＭＳ ゴシック" w:hint="eastAsia"/>
        </w:rPr>
        <w:t>・各部局長においては、職種の枠を超えた配置や年度途中の柔軟な対応を見越したグループ編成など戦略的な人員体制を構築することで、部局内の人員の有効活用を図り、総人数の抑制に努めること。</w:t>
      </w:r>
    </w:p>
    <w:p w:rsidR="006268D9" w:rsidRPr="007B5D1C" w:rsidRDefault="006268D9" w:rsidP="006268D9">
      <w:pPr>
        <w:spacing w:line="240" w:lineRule="auto"/>
        <w:ind w:leftChars="50" w:left="284" w:hangingChars="50" w:hanging="142"/>
        <w:rPr>
          <w:rFonts w:ascii="ＭＳ ゴシック" w:hAnsi="ＭＳ ゴシック" w:hint="eastAsia"/>
        </w:rPr>
      </w:pPr>
      <w:r w:rsidRPr="007B5D1C">
        <w:rPr>
          <w:rFonts w:ascii="ＭＳ ゴシック" w:hAnsi="ＭＳ ゴシック" w:hint="eastAsia"/>
        </w:rPr>
        <w:t>・複数部局にまたがる横断的課題については、「課題解決型プロジェクトチーム」を活用するとともに、人員体制については、部局間の役割分担を明確にして、庁内で人員の重複配置となることのないよう、あらかじめ関係部局で十分に協議を行うこと。</w:t>
      </w:r>
    </w:p>
    <w:p w:rsidR="006268D9" w:rsidRPr="007B5D1C" w:rsidRDefault="006268D9" w:rsidP="00DE03FA">
      <w:pPr>
        <w:spacing w:beforeLines="100" w:before="431" w:line="120" w:lineRule="exact"/>
        <w:rPr>
          <w:rFonts w:ascii="ＭＳ Ｐゴシック" w:eastAsia="ＭＳ Ｐゴシック" w:hAnsi="ＭＳ Ｐゴシック" w:hint="eastAsia"/>
          <w:b/>
        </w:rPr>
      </w:pPr>
    </w:p>
    <w:p w:rsidR="006268D9" w:rsidRPr="007B5D1C" w:rsidRDefault="006268D9" w:rsidP="006268D9">
      <w:pPr>
        <w:spacing w:line="240" w:lineRule="auto"/>
        <w:rPr>
          <w:rFonts w:ascii="ＭＳ Ｐゴシック" w:eastAsia="ＭＳ Ｐゴシック" w:hAnsi="ＭＳ Ｐゴシック" w:hint="eastAsia"/>
          <w:b/>
        </w:rPr>
      </w:pPr>
      <w:r w:rsidRPr="007B5D1C">
        <w:rPr>
          <w:rFonts w:ascii="ＭＳ Ｐゴシック" w:eastAsia="ＭＳ Ｐゴシック" w:hAnsi="ＭＳ Ｐゴシック" w:hint="eastAsia"/>
          <w:b/>
        </w:rPr>
        <w:t>５．働き方改革</w:t>
      </w:r>
    </w:p>
    <w:p w:rsidR="006268D9" w:rsidRPr="007B5D1C" w:rsidRDefault="006268D9" w:rsidP="006268D9">
      <w:pPr>
        <w:spacing w:line="240" w:lineRule="auto"/>
        <w:ind w:leftChars="50" w:left="284" w:hangingChars="50" w:hanging="142"/>
        <w:rPr>
          <w:rFonts w:hAnsi="ＭＳ 明朝" w:hint="eastAsia"/>
        </w:rPr>
      </w:pPr>
      <w:r w:rsidRPr="007B5D1C">
        <w:rPr>
          <w:rFonts w:hAnsi="ＭＳ 明朝" w:hint="eastAsia"/>
        </w:rPr>
        <w:t>・</w:t>
      </w:r>
      <w:r>
        <w:rPr>
          <w:rFonts w:hAnsi="ＭＳ 明朝" w:hint="eastAsia"/>
        </w:rPr>
        <w:t>働く者の心身の健康確保、ワークライフバランス、女性活躍の促進などの観点から</w:t>
      </w:r>
      <w:r w:rsidRPr="007B5D1C">
        <w:rPr>
          <w:rFonts w:hAnsi="ＭＳ 明朝" w:hint="eastAsia"/>
        </w:rPr>
        <w:t>、長時間労働の是正、</w:t>
      </w:r>
      <w:r>
        <w:rPr>
          <w:rFonts w:hAnsi="ＭＳ 明朝" w:hint="eastAsia"/>
        </w:rPr>
        <w:t>育児休業の取得促進、</w:t>
      </w:r>
      <w:r w:rsidRPr="007B5D1C">
        <w:rPr>
          <w:rFonts w:hAnsi="ＭＳ 明朝" w:hint="eastAsia"/>
        </w:rPr>
        <w:t>柔軟な働き方への転換など「働き方改革」の取組みを進めることとする。</w:t>
      </w:r>
    </w:p>
    <w:p w:rsidR="006268D9" w:rsidRPr="007B5D1C" w:rsidRDefault="006268D9" w:rsidP="006268D9">
      <w:pPr>
        <w:spacing w:line="240" w:lineRule="auto"/>
        <w:ind w:leftChars="50" w:left="284" w:hangingChars="50" w:hanging="142"/>
        <w:rPr>
          <w:rFonts w:hAnsi="ＭＳ 明朝" w:hint="eastAsia"/>
        </w:rPr>
      </w:pPr>
      <w:r w:rsidRPr="007B5D1C">
        <w:rPr>
          <w:rFonts w:hAnsi="ＭＳ 明朝" w:hint="eastAsia"/>
        </w:rPr>
        <w:t>・このため、業務遂行にあたっては、多様な働き方を推進する観点から、</w:t>
      </w:r>
      <w:r>
        <w:rPr>
          <w:rFonts w:hAnsi="ＭＳ 明朝" w:hint="eastAsia"/>
        </w:rPr>
        <w:t>フレックスタイム制度の活用など育児や介護等</w:t>
      </w:r>
      <w:r w:rsidRPr="007B5D1C">
        <w:rPr>
          <w:rFonts w:hAnsi="ＭＳ 明朝" w:hint="eastAsia"/>
        </w:rPr>
        <w:t>の要件をもった職員が柔軟な働き方を行うことができる職場環境の整備に努めるとともに、時間外勤務の実態等に十分留意した取組みに努めること。</w:t>
      </w:r>
    </w:p>
    <w:sectPr w:rsidR="006268D9" w:rsidRPr="007B5D1C" w:rsidSect="00347E9B">
      <w:headerReference w:type="even" r:id="rId7"/>
      <w:headerReference w:type="default" r:id="rId8"/>
      <w:type w:val="nextColumn"/>
      <w:pgSz w:w="11905" w:h="16837" w:code="9"/>
      <w:pgMar w:top="851" w:right="1418" w:bottom="426" w:left="1418" w:header="284" w:footer="142" w:gutter="0"/>
      <w:cols w:space="720"/>
      <w:docGrid w:type="linesAndChars" w:linePitch="431" w:charSpace="8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6C7" w:rsidRDefault="00BF66C7" w:rsidP="00C34927">
      <w:pPr>
        <w:spacing w:line="240" w:lineRule="auto"/>
      </w:pPr>
      <w:r>
        <w:separator/>
      </w:r>
    </w:p>
  </w:endnote>
  <w:endnote w:type="continuationSeparator" w:id="0">
    <w:p w:rsidR="00BF66C7" w:rsidRDefault="00BF66C7" w:rsidP="00C34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6C7" w:rsidRDefault="00BF66C7" w:rsidP="00C34927">
      <w:pPr>
        <w:spacing w:line="240" w:lineRule="auto"/>
      </w:pPr>
      <w:r>
        <w:separator/>
      </w:r>
    </w:p>
  </w:footnote>
  <w:footnote w:type="continuationSeparator" w:id="0">
    <w:p w:rsidR="00BF66C7" w:rsidRDefault="00BF66C7" w:rsidP="00C349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C08" w:rsidRPr="00293FB8" w:rsidRDefault="00E53C08" w:rsidP="00E53C08">
    <w:pPr>
      <w:pStyle w:val="a9"/>
      <w:jc w:val="center"/>
      <w:rPr>
        <w:rFonts w:ascii="ＭＳ ゴシック" w:eastAsia="ＭＳ ゴシック" w:hAnsi="ＭＳ ゴシック"/>
        <w:sz w:val="28"/>
        <w:szCs w:val="28"/>
      </w:rPr>
    </w:pPr>
  </w:p>
  <w:p w:rsidR="00E53C08" w:rsidRDefault="00E53C0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695" w:rsidRPr="00583695" w:rsidRDefault="00583695" w:rsidP="00716CD1">
    <w:pPr>
      <w:pStyle w:val="a9"/>
      <w:jc w:val="center"/>
      <w:rPr>
        <w:rFonts w:ascii="ＭＳ ゴシック" w:eastAsia="ＭＳ ゴシック" w:hAnsi="ＭＳ ゴシック" w:hint="eastAsia"/>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83"/>
  <w:drawingGridVerticalSpacing w:val="431"/>
  <w:displayHorizontalDrawingGridEvery w:val="0"/>
  <w:doNotShadeFormData/>
  <w:characterSpacingControl w:val="compressPunctuationAndJapaneseKana"/>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64"/>
    <w:rsid w:val="0000255E"/>
    <w:rsid w:val="0001389B"/>
    <w:rsid w:val="00027723"/>
    <w:rsid w:val="00031AC8"/>
    <w:rsid w:val="000356CF"/>
    <w:rsid w:val="00057503"/>
    <w:rsid w:val="00074299"/>
    <w:rsid w:val="000857C2"/>
    <w:rsid w:val="000869D0"/>
    <w:rsid w:val="0009394D"/>
    <w:rsid w:val="000A546A"/>
    <w:rsid w:val="000A7164"/>
    <w:rsid w:val="000C63D5"/>
    <w:rsid w:val="000D67D3"/>
    <w:rsid w:val="000E1424"/>
    <w:rsid w:val="000F2F5E"/>
    <w:rsid w:val="00106979"/>
    <w:rsid w:val="00106F13"/>
    <w:rsid w:val="001111F5"/>
    <w:rsid w:val="00126695"/>
    <w:rsid w:val="00126807"/>
    <w:rsid w:val="00131C43"/>
    <w:rsid w:val="00142582"/>
    <w:rsid w:val="0014447D"/>
    <w:rsid w:val="001535BB"/>
    <w:rsid w:val="00160DC2"/>
    <w:rsid w:val="001707D2"/>
    <w:rsid w:val="00170BD1"/>
    <w:rsid w:val="00185D05"/>
    <w:rsid w:val="001C0572"/>
    <w:rsid w:val="001C210F"/>
    <w:rsid w:val="001D5419"/>
    <w:rsid w:val="001D781F"/>
    <w:rsid w:val="001E35DE"/>
    <w:rsid w:val="001E5614"/>
    <w:rsid w:val="00210A8E"/>
    <w:rsid w:val="00211F2C"/>
    <w:rsid w:val="00215957"/>
    <w:rsid w:val="002164F1"/>
    <w:rsid w:val="00225138"/>
    <w:rsid w:val="002621BA"/>
    <w:rsid w:val="00266A6B"/>
    <w:rsid w:val="002672C1"/>
    <w:rsid w:val="00290A09"/>
    <w:rsid w:val="002A5822"/>
    <w:rsid w:val="002B1966"/>
    <w:rsid w:val="002B1FFB"/>
    <w:rsid w:val="002B3C20"/>
    <w:rsid w:val="002D2E5C"/>
    <w:rsid w:val="002D2F28"/>
    <w:rsid w:val="002F58AC"/>
    <w:rsid w:val="00317DED"/>
    <w:rsid w:val="003210AA"/>
    <w:rsid w:val="003210B0"/>
    <w:rsid w:val="00330090"/>
    <w:rsid w:val="00330AAC"/>
    <w:rsid w:val="00334D83"/>
    <w:rsid w:val="00337775"/>
    <w:rsid w:val="00342DB9"/>
    <w:rsid w:val="003450F7"/>
    <w:rsid w:val="00347E9B"/>
    <w:rsid w:val="00361B7F"/>
    <w:rsid w:val="00367AE3"/>
    <w:rsid w:val="00390146"/>
    <w:rsid w:val="003951B7"/>
    <w:rsid w:val="003A6E2A"/>
    <w:rsid w:val="003A7EAC"/>
    <w:rsid w:val="003B3561"/>
    <w:rsid w:val="003D1ABA"/>
    <w:rsid w:val="003E6204"/>
    <w:rsid w:val="003E68D6"/>
    <w:rsid w:val="00414247"/>
    <w:rsid w:val="00414B92"/>
    <w:rsid w:val="00422BEF"/>
    <w:rsid w:val="00433F2C"/>
    <w:rsid w:val="00470AC9"/>
    <w:rsid w:val="00476642"/>
    <w:rsid w:val="004A3FB4"/>
    <w:rsid w:val="004D4D31"/>
    <w:rsid w:val="004E3402"/>
    <w:rsid w:val="005137EA"/>
    <w:rsid w:val="00513B48"/>
    <w:rsid w:val="00536BFE"/>
    <w:rsid w:val="005410FB"/>
    <w:rsid w:val="005468CF"/>
    <w:rsid w:val="00557673"/>
    <w:rsid w:val="00566CB0"/>
    <w:rsid w:val="00570078"/>
    <w:rsid w:val="005726F3"/>
    <w:rsid w:val="00574897"/>
    <w:rsid w:val="00583695"/>
    <w:rsid w:val="0059236E"/>
    <w:rsid w:val="005A4A0C"/>
    <w:rsid w:val="005B007D"/>
    <w:rsid w:val="005B2F13"/>
    <w:rsid w:val="005D18F8"/>
    <w:rsid w:val="005E6C6D"/>
    <w:rsid w:val="005F6CEA"/>
    <w:rsid w:val="00610ADC"/>
    <w:rsid w:val="006268D9"/>
    <w:rsid w:val="006723D4"/>
    <w:rsid w:val="006922F7"/>
    <w:rsid w:val="00694D54"/>
    <w:rsid w:val="006E2FF7"/>
    <w:rsid w:val="0070303F"/>
    <w:rsid w:val="00705D07"/>
    <w:rsid w:val="00710D25"/>
    <w:rsid w:val="00716CD1"/>
    <w:rsid w:val="00723FB2"/>
    <w:rsid w:val="00734395"/>
    <w:rsid w:val="00734A4A"/>
    <w:rsid w:val="007364BA"/>
    <w:rsid w:val="007460E3"/>
    <w:rsid w:val="00754442"/>
    <w:rsid w:val="00755448"/>
    <w:rsid w:val="0076434B"/>
    <w:rsid w:val="00765A9A"/>
    <w:rsid w:val="00784E8B"/>
    <w:rsid w:val="00791854"/>
    <w:rsid w:val="007A2C9E"/>
    <w:rsid w:val="007A688C"/>
    <w:rsid w:val="007B1790"/>
    <w:rsid w:val="007C363D"/>
    <w:rsid w:val="007D3F30"/>
    <w:rsid w:val="007E2064"/>
    <w:rsid w:val="007E74C8"/>
    <w:rsid w:val="007F40D0"/>
    <w:rsid w:val="00843823"/>
    <w:rsid w:val="008451E3"/>
    <w:rsid w:val="00850A23"/>
    <w:rsid w:val="00856FAD"/>
    <w:rsid w:val="00866DAD"/>
    <w:rsid w:val="00881612"/>
    <w:rsid w:val="00896D56"/>
    <w:rsid w:val="008A0CFD"/>
    <w:rsid w:val="008A62DC"/>
    <w:rsid w:val="008C3BEE"/>
    <w:rsid w:val="008D78A7"/>
    <w:rsid w:val="008F0921"/>
    <w:rsid w:val="008F6248"/>
    <w:rsid w:val="00903DD2"/>
    <w:rsid w:val="00905971"/>
    <w:rsid w:val="009064B2"/>
    <w:rsid w:val="00912B6D"/>
    <w:rsid w:val="00920088"/>
    <w:rsid w:val="0094543D"/>
    <w:rsid w:val="00962ED4"/>
    <w:rsid w:val="00970D4E"/>
    <w:rsid w:val="00976BF4"/>
    <w:rsid w:val="009906CD"/>
    <w:rsid w:val="00990798"/>
    <w:rsid w:val="00990BE6"/>
    <w:rsid w:val="009A2534"/>
    <w:rsid w:val="009B411E"/>
    <w:rsid w:val="009B63F7"/>
    <w:rsid w:val="009D1130"/>
    <w:rsid w:val="009D5521"/>
    <w:rsid w:val="009D5D1B"/>
    <w:rsid w:val="009E0342"/>
    <w:rsid w:val="00A04348"/>
    <w:rsid w:val="00A044FC"/>
    <w:rsid w:val="00A163A6"/>
    <w:rsid w:val="00A40802"/>
    <w:rsid w:val="00A77570"/>
    <w:rsid w:val="00A81CF9"/>
    <w:rsid w:val="00A835A0"/>
    <w:rsid w:val="00A94028"/>
    <w:rsid w:val="00AA07ED"/>
    <w:rsid w:val="00AA4424"/>
    <w:rsid w:val="00AA62AF"/>
    <w:rsid w:val="00AA78FD"/>
    <w:rsid w:val="00AA7EAB"/>
    <w:rsid w:val="00AB7403"/>
    <w:rsid w:val="00AC5D13"/>
    <w:rsid w:val="00AD3DAA"/>
    <w:rsid w:val="00AF64CC"/>
    <w:rsid w:val="00B242F6"/>
    <w:rsid w:val="00B51C28"/>
    <w:rsid w:val="00B522A7"/>
    <w:rsid w:val="00B53076"/>
    <w:rsid w:val="00B77DF2"/>
    <w:rsid w:val="00B86A4A"/>
    <w:rsid w:val="00B92EAF"/>
    <w:rsid w:val="00BA3FF9"/>
    <w:rsid w:val="00BA58AC"/>
    <w:rsid w:val="00BD1054"/>
    <w:rsid w:val="00BD4303"/>
    <w:rsid w:val="00BD448B"/>
    <w:rsid w:val="00BD7900"/>
    <w:rsid w:val="00BF66C7"/>
    <w:rsid w:val="00C10C93"/>
    <w:rsid w:val="00C131FE"/>
    <w:rsid w:val="00C24991"/>
    <w:rsid w:val="00C2631F"/>
    <w:rsid w:val="00C34927"/>
    <w:rsid w:val="00C4576C"/>
    <w:rsid w:val="00C47BF8"/>
    <w:rsid w:val="00C556F6"/>
    <w:rsid w:val="00C71B77"/>
    <w:rsid w:val="00C808D7"/>
    <w:rsid w:val="00C80CB6"/>
    <w:rsid w:val="00C8716A"/>
    <w:rsid w:val="00CB7585"/>
    <w:rsid w:val="00CB771E"/>
    <w:rsid w:val="00CD33A3"/>
    <w:rsid w:val="00CD4CFC"/>
    <w:rsid w:val="00CE30D0"/>
    <w:rsid w:val="00D04B7E"/>
    <w:rsid w:val="00D216EC"/>
    <w:rsid w:val="00D43753"/>
    <w:rsid w:val="00D6175A"/>
    <w:rsid w:val="00D72DC4"/>
    <w:rsid w:val="00D84A6E"/>
    <w:rsid w:val="00D94181"/>
    <w:rsid w:val="00DA0509"/>
    <w:rsid w:val="00DB0083"/>
    <w:rsid w:val="00DC26AB"/>
    <w:rsid w:val="00DC4943"/>
    <w:rsid w:val="00DD3CAD"/>
    <w:rsid w:val="00DE03FA"/>
    <w:rsid w:val="00DE6424"/>
    <w:rsid w:val="00DF6734"/>
    <w:rsid w:val="00E173FA"/>
    <w:rsid w:val="00E21754"/>
    <w:rsid w:val="00E510EA"/>
    <w:rsid w:val="00E53C08"/>
    <w:rsid w:val="00E734C4"/>
    <w:rsid w:val="00E805E6"/>
    <w:rsid w:val="00EA1D30"/>
    <w:rsid w:val="00EB4E7D"/>
    <w:rsid w:val="00EB7012"/>
    <w:rsid w:val="00EC22B7"/>
    <w:rsid w:val="00EC4FC3"/>
    <w:rsid w:val="00EC5E33"/>
    <w:rsid w:val="00ED2A8D"/>
    <w:rsid w:val="00ED7EAE"/>
    <w:rsid w:val="00EE152C"/>
    <w:rsid w:val="00F069EF"/>
    <w:rsid w:val="00F13209"/>
    <w:rsid w:val="00F13FD6"/>
    <w:rsid w:val="00F253DA"/>
    <w:rsid w:val="00F33186"/>
    <w:rsid w:val="00F401E6"/>
    <w:rsid w:val="00F4638A"/>
    <w:rsid w:val="00F560B1"/>
    <w:rsid w:val="00F75745"/>
    <w:rsid w:val="00F7767D"/>
    <w:rsid w:val="00F90E11"/>
    <w:rsid w:val="00FC539E"/>
    <w:rsid w:val="00FC6A00"/>
    <w:rsid w:val="00FD6AB7"/>
    <w:rsid w:val="00FE164F"/>
    <w:rsid w:val="00FF2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04EB825-48CB-4220-BACE-D06B2A4A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1" w:lineRule="atLeast"/>
      <w:jc w:val="both"/>
    </w:pPr>
    <w:rPr>
      <w:rFonts w:ascii="ＭＳ 明朝" w:eastAsia="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kinsoku w:val="0"/>
      <w:overflowPunct w:val="0"/>
      <w:spacing w:line="240" w:lineRule="auto"/>
      <w:ind w:leftChars="3000" w:left="6802" w:right="-11"/>
      <w:jc w:val="right"/>
    </w:pPr>
    <w:rPr>
      <w:spacing w:val="2"/>
    </w:rPr>
  </w:style>
  <w:style w:type="paragraph" w:styleId="a4">
    <w:name w:val="Body Text"/>
    <w:basedOn w:val="a"/>
    <w:pPr>
      <w:kinsoku w:val="0"/>
      <w:overflowPunct w:val="0"/>
      <w:spacing w:line="240" w:lineRule="auto"/>
      <w:ind w:right="645"/>
    </w:pPr>
  </w:style>
  <w:style w:type="paragraph" w:styleId="a5">
    <w:name w:val="Note Heading"/>
    <w:basedOn w:val="a"/>
    <w:next w:val="a"/>
    <w:pPr>
      <w:jc w:val="center"/>
    </w:pPr>
    <w:rPr>
      <w:spacing w:val="2"/>
    </w:rPr>
  </w:style>
  <w:style w:type="paragraph" w:styleId="a6">
    <w:name w:val="Closing"/>
    <w:basedOn w:val="a"/>
    <w:pPr>
      <w:jc w:val="right"/>
    </w:pPr>
    <w:rPr>
      <w:spacing w:val="2"/>
    </w:rPr>
  </w:style>
  <w:style w:type="paragraph" w:styleId="2">
    <w:name w:val="Body Text 2"/>
    <w:basedOn w:val="a"/>
    <w:pPr>
      <w:kinsoku w:val="0"/>
      <w:overflowPunct w:val="0"/>
      <w:spacing w:line="240" w:lineRule="auto"/>
      <w:ind w:right="-11"/>
    </w:pPr>
    <w:rPr>
      <w:snapToGrid w:val="0"/>
    </w:rPr>
  </w:style>
  <w:style w:type="paragraph" w:styleId="3">
    <w:name w:val="Body Text 3"/>
    <w:basedOn w:val="a"/>
    <w:pPr>
      <w:spacing w:afterLines="25" w:after="109" w:line="240" w:lineRule="auto"/>
      <w:ind w:rightChars="156" w:right="442"/>
      <w:jc w:val="distribute"/>
    </w:pPr>
  </w:style>
  <w:style w:type="paragraph" w:styleId="a7">
    <w:name w:val="Body Text Indent"/>
    <w:basedOn w:val="a"/>
    <w:pPr>
      <w:spacing w:line="240" w:lineRule="auto"/>
      <w:ind w:left="567" w:hangingChars="200" w:hanging="567"/>
    </w:pPr>
  </w:style>
  <w:style w:type="paragraph" w:styleId="20">
    <w:name w:val="Body Text Indent 2"/>
    <w:basedOn w:val="a"/>
    <w:pPr>
      <w:spacing w:line="240" w:lineRule="auto"/>
      <w:ind w:left="283" w:hangingChars="100" w:hanging="283"/>
    </w:pPr>
  </w:style>
  <w:style w:type="paragraph" w:styleId="30">
    <w:name w:val="Body Text Indent 3"/>
    <w:basedOn w:val="a"/>
    <w:pPr>
      <w:spacing w:line="420" w:lineRule="exact"/>
      <w:ind w:leftChars="100" w:left="283" w:firstLineChars="100" w:firstLine="283"/>
    </w:pPr>
    <w:rPr>
      <w:color w:val="FF0000"/>
    </w:rPr>
  </w:style>
  <w:style w:type="paragraph" w:styleId="a8">
    <w:name w:val="Balloon Text"/>
    <w:basedOn w:val="a"/>
    <w:semiHidden/>
    <w:rsid w:val="00126807"/>
    <w:rPr>
      <w:rFonts w:ascii="Arial" w:eastAsia="ＭＳ ゴシック" w:hAnsi="Arial"/>
      <w:sz w:val="18"/>
      <w:szCs w:val="18"/>
    </w:rPr>
  </w:style>
  <w:style w:type="paragraph" w:styleId="a9">
    <w:name w:val="header"/>
    <w:basedOn w:val="a"/>
    <w:link w:val="aa"/>
    <w:rsid w:val="00C34927"/>
    <w:pPr>
      <w:tabs>
        <w:tab w:val="center" w:pos="4252"/>
        <w:tab w:val="right" w:pos="8504"/>
      </w:tabs>
      <w:snapToGrid w:val="0"/>
    </w:pPr>
  </w:style>
  <w:style w:type="character" w:customStyle="1" w:styleId="aa">
    <w:name w:val="ヘッダー (文字)"/>
    <w:link w:val="a9"/>
    <w:rsid w:val="00C34927"/>
    <w:rPr>
      <w:rFonts w:ascii="ＭＳ 明朝" w:eastAsia="ＭＳ 明朝"/>
      <w:kern w:val="2"/>
      <w:sz w:val="24"/>
    </w:rPr>
  </w:style>
  <w:style w:type="paragraph" w:styleId="ab">
    <w:name w:val="footer"/>
    <w:basedOn w:val="a"/>
    <w:link w:val="ac"/>
    <w:rsid w:val="00C34927"/>
    <w:pPr>
      <w:tabs>
        <w:tab w:val="center" w:pos="4252"/>
        <w:tab w:val="right" w:pos="8504"/>
      </w:tabs>
      <w:snapToGrid w:val="0"/>
    </w:pPr>
  </w:style>
  <w:style w:type="character" w:customStyle="1" w:styleId="ac">
    <w:name w:val="フッター (文字)"/>
    <w:link w:val="ab"/>
    <w:rsid w:val="00C34927"/>
    <w:rPr>
      <w:rFonts w:ascii="ＭＳ 明朝" w:eastAsia="ＭＳ 明朝"/>
      <w:kern w:val="2"/>
      <w:sz w:val="24"/>
    </w:rPr>
  </w:style>
  <w:style w:type="paragraph" w:styleId="ad">
    <w:name w:val="Date"/>
    <w:basedOn w:val="a"/>
    <w:next w:val="a"/>
    <w:link w:val="ae"/>
    <w:rsid w:val="00990BE6"/>
  </w:style>
  <w:style w:type="character" w:customStyle="1" w:styleId="ae">
    <w:name w:val="日付 (文字)"/>
    <w:link w:val="ad"/>
    <w:rsid w:val="00990BE6"/>
    <w:rPr>
      <w:rFonts w:ascii="ＭＳ 明朝" w:eastAsia="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286A8-4A6C-4CE0-99A0-1D40B56A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行政運営通知</vt:lpstr>
      <vt:lpstr>行政運営通知</vt:lpstr>
    </vt:vector>
  </TitlesOfParts>
  <Company>大阪府</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行政運営通知</dc:title>
  <dc:subject/>
  <dc:creator>職員端末機１２年度後期分</dc:creator>
  <cp:keywords/>
  <cp:lastModifiedBy>山本　真之</cp:lastModifiedBy>
  <cp:revision>2</cp:revision>
  <cp:lastPrinted>2022-11-25T06:40:00Z</cp:lastPrinted>
  <dcterms:created xsi:type="dcterms:W3CDTF">2022-11-29T06:05:00Z</dcterms:created>
  <dcterms:modified xsi:type="dcterms:W3CDTF">2022-11-29T06:05:00Z</dcterms:modified>
</cp:coreProperties>
</file>