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61D" w:rsidRDefault="0022761D" w:rsidP="00186EA0">
      <w:pPr>
        <w:spacing w:line="460" w:lineRule="exact"/>
        <w:ind w:right="210"/>
        <w:rPr>
          <w:rFonts w:asciiTheme="minorEastAsia" w:eastAsiaTheme="minorEastAsia" w:hAnsiTheme="minorEastAsia" w:cs="Meiryo UI"/>
          <w:kern w:val="0"/>
        </w:rPr>
      </w:pPr>
      <w:bookmarkStart w:id="0" w:name="_GoBack"/>
      <w:bookmarkEnd w:id="0"/>
    </w:p>
    <w:p w:rsidR="0022761D" w:rsidRPr="002A60E0" w:rsidRDefault="00DC0BCF" w:rsidP="00186EA0">
      <w:pPr>
        <w:spacing w:line="460" w:lineRule="exact"/>
        <w:ind w:right="210"/>
        <w:jc w:val="center"/>
        <w:rPr>
          <w:rFonts w:asciiTheme="minorEastAsia" w:eastAsiaTheme="minorEastAsia" w:hAnsiTheme="minorEastAsia" w:cs="Meiryo UI"/>
          <w:kern w:val="0"/>
        </w:rPr>
      </w:pPr>
      <w:r>
        <w:rPr>
          <w:rFonts w:asciiTheme="minorEastAsia" w:eastAsiaTheme="minorEastAsia" w:hAnsiTheme="minorEastAsia" w:cs="Meiryo UI" w:hint="eastAsia"/>
          <w:kern w:val="0"/>
        </w:rPr>
        <w:t>令和</w:t>
      </w:r>
      <w:r w:rsidR="009302BB">
        <w:rPr>
          <w:rFonts w:asciiTheme="minorEastAsia" w:eastAsiaTheme="minorEastAsia" w:hAnsiTheme="minorEastAsia" w:cs="Meiryo UI" w:hint="eastAsia"/>
          <w:kern w:val="0"/>
        </w:rPr>
        <w:t>５</w:t>
      </w:r>
      <w:r w:rsidR="00186EA0">
        <w:rPr>
          <w:rFonts w:asciiTheme="minorEastAsia" w:eastAsiaTheme="minorEastAsia" w:hAnsiTheme="minorEastAsia" w:cs="Meiryo UI" w:hint="eastAsia"/>
          <w:kern w:val="0"/>
        </w:rPr>
        <w:t>年度当初予算編成要領</w:t>
      </w:r>
    </w:p>
    <w:p w:rsidR="00CC0F96" w:rsidRPr="009302BB" w:rsidRDefault="00CC0F96" w:rsidP="005900A8">
      <w:pPr>
        <w:autoSpaceDE w:val="0"/>
        <w:autoSpaceDN w:val="0"/>
        <w:spacing w:line="460" w:lineRule="exact"/>
        <w:jc w:val="center"/>
        <w:rPr>
          <w:rFonts w:ascii="ＭＳ 明朝" w:hAnsi="ＭＳ 明朝"/>
          <w:kern w:val="0"/>
          <w:sz w:val="28"/>
          <w:szCs w:val="28"/>
        </w:rPr>
      </w:pPr>
    </w:p>
    <w:p w:rsidR="00234C23" w:rsidRPr="00234C23" w:rsidRDefault="00234C23" w:rsidP="00234C23">
      <w:pPr>
        <w:autoSpaceDE w:val="0"/>
        <w:autoSpaceDN w:val="0"/>
        <w:spacing w:line="460" w:lineRule="exact"/>
        <w:ind w:firstLineChars="100" w:firstLine="240"/>
        <w:rPr>
          <w:rFonts w:asciiTheme="minorEastAsia" w:eastAsiaTheme="minorEastAsia" w:hAnsiTheme="minorEastAsia"/>
          <w:kern w:val="0"/>
        </w:rPr>
      </w:pPr>
      <w:r w:rsidRPr="00234C23">
        <w:rPr>
          <w:rFonts w:asciiTheme="minorEastAsia" w:eastAsiaTheme="minorEastAsia" w:hAnsiTheme="minorEastAsia" w:hint="eastAsia"/>
          <w:kern w:val="0"/>
        </w:rPr>
        <w:t>我が国の景気は、緩やかに</w:t>
      </w:r>
      <w:r>
        <w:rPr>
          <w:rFonts w:asciiTheme="minorEastAsia" w:eastAsiaTheme="minorEastAsia" w:hAnsiTheme="minorEastAsia" w:hint="eastAsia"/>
          <w:kern w:val="0"/>
        </w:rPr>
        <w:t>持ち直しており、</w:t>
      </w:r>
      <w:r w:rsidRPr="00234C23">
        <w:rPr>
          <w:rFonts w:asciiTheme="minorEastAsia" w:eastAsiaTheme="minorEastAsia" w:hAnsiTheme="minorEastAsia" w:hint="eastAsia"/>
          <w:kern w:val="0"/>
        </w:rPr>
        <w:t>先行きについては、ウィズコロナの新たな段階への移行が進められる中、各種政策の効果もあって、景気が持ち直していくことが期待される。ただし、世界的な金融引締め等が続く中、海外景気の下振れが我が国の景気を下押しするリスクとなっている。また、物価上昇、供給面での制約、金融資本市場の変動等の影響に十分注意する必要がある。</w:t>
      </w:r>
    </w:p>
    <w:p w:rsidR="00234C23" w:rsidRPr="00234C23" w:rsidRDefault="00234C23" w:rsidP="00DE3F83">
      <w:pPr>
        <w:autoSpaceDE w:val="0"/>
        <w:autoSpaceDN w:val="0"/>
        <w:spacing w:line="460" w:lineRule="exact"/>
        <w:ind w:firstLineChars="100" w:firstLine="240"/>
        <w:rPr>
          <w:rFonts w:asciiTheme="minorEastAsia" w:eastAsiaTheme="minorEastAsia" w:hAnsiTheme="minorEastAsia"/>
          <w:kern w:val="0"/>
        </w:rPr>
      </w:pPr>
      <w:r w:rsidRPr="00234C23">
        <w:rPr>
          <w:rFonts w:asciiTheme="minorEastAsia" w:eastAsiaTheme="minorEastAsia" w:hAnsiTheme="minorEastAsia" w:hint="eastAsia"/>
          <w:kern w:val="0"/>
        </w:rPr>
        <w:t xml:space="preserve">また、本府の財政状況は、現時点で想定しうる事項を加味して作成した仮収支試算　　　　　　　　　では、令和５年度に６１０億円±αの収支不足が見込まれているが、府経済においても、依然として、新型コロナウイルス感染症による影響や、原材料価格の動向等による景気の下振れリスクがあることから財政状況は予断を許さない状況にある。また、減債基金の積立不足の復元やバブル後に大量発行した府債の最終償還の到来などがあり、引き続き厳しい見通しとなっている。　　　　　　　　　　　　　　　　　　　　　　　　　　　　　　　　　　　　　　　</w:t>
      </w:r>
    </w:p>
    <w:p w:rsidR="00234C23" w:rsidRPr="00234C23" w:rsidRDefault="00234C23" w:rsidP="00234C23">
      <w:pPr>
        <w:autoSpaceDE w:val="0"/>
        <w:autoSpaceDN w:val="0"/>
        <w:spacing w:line="460" w:lineRule="exact"/>
        <w:ind w:firstLineChars="100" w:firstLine="240"/>
        <w:rPr>
          <w:rFonts w:asciiTheme="minorEastAsia" w:eastAsiaTheme="minorEastAsia" w:hAnsiTheme="minorEastAsia"/>
          <w:kern w:val="0"/>
        </w:rPr>
      </w:pPr>
      <w:r>
        <w:rPr>
          <w:rFonts w:asciiTheme="minorEastAsia" w:eastAsiaTheme="minorEastAsia" w:hAnsiTheme="minorEastAsia" w:hint="eastAsia"/>
          <w:kern w:val="0"/>
        </w:rPr>
        <w:t>こうした状況の中、</w:t>
      </w:r>
      <w:r w:rsidRPr="00234C23">
        <w:rPr>
          <w:rFonts w:asciiTheme="minorEastAsia" w:eastAsiaTheme="minorEastAsia" w:hAnsiTheme="minorEastAsia" w:hint="eastAsia"/>
          <w:kern w:val="0"/>
        </w:rPr>
        <w:t>財政規律を堅持しながら、コロナや物価高騰対策を着実に進めるとともに、</w:t>
      </w:r>
      <w:r w:rsidR="003A4310">
        <w:rPr>
          <w:rFonts w:asciiTheme="minorEastAsia" w:eastAsiaTheme="minorEastAsia" w:hAnsiTheme="minorEastAsia" w:hint="eastAsia"/>
          <w:kern w:val="0"/>
        </w:rPr>
        <w:t>２０２５</w:t>
      </w:r>
      <w:r w:rsidRPr="00234C23">
        <w:rPr>
          <w:rFonts w:asciiTheme="minorEastAsia" w:eastAsiaTheme="minorEastAsia" w:hAnsiTheme="minorEastAsia" w:hint="eastAsia"/>
          <w:kern w:val="0"/>
        </w:rPr>
        <w:t>年大阪・関西万博のインパクトを最大限に</w:t>
      </w:r>
      <w:r w:rsidR="008706BE">
        <w:rPr>
          <w:rFonts w:asciiTheme="minorEastAsia" w:eastAsiaTheme="minorEastAsia" w:hAnsiTheme="minorEastAsia" w:hint="eastAsia"/>
          <w:kern w:val="0"/>
        </w:rPr>
        <w:t>活かし</w:t>
      </w:r>
      <w:r w:rsidRPr="00234C23">
        <w:rPr>
          <w:rFonts w:asciiTheme="minorEastAsia" w:eastAsiaTheme="minorEastAsia" w:hAnsiTheme="minorEastAsia" w:hint="eastAsia"/>
          <w:kern w:val="0"/>
        </w:rPr>
        <w:t>、大阪の成長・飛躍に向けた施策を実施するため、限られた財源の重点配分を行わなければならない。</w:t>
      </w:r>
    </w:p>
    <w:p w:rsidR="004E6F5C" w:rsidRDefault="00234C23" w:rsidP="00234C23">
      <w:pPr>
        <w:autoSpaceDE w:val="0"/>
        <w:autoSpaceDN w:val="0"/>
        <w:spacing w:line="460" w:lineRule="exact"/>
        <w:ind w:firstLineChars="100" w:firstLine="240"/>
        <w:rPr>
          <w:rFonts w:asciiTheme="minorEastAsia" w:eastAsiaTheme="minorEastAsia" w:hAnsiTheme="minorEastAsia"/>
          <w:kern w:val="0"/>
        </w:rPr>
      </w:pPr>
      <w:r w:rsidRPr="00234C23">
        <w:rPr>
          <w:rFonts w:asciiTheme="minorEastAsia" w:eastAsiaTheme="minorEastAsia" w:hAnsiTheme="minorEastAsia" w:hint="eastAsia"/>
          <w:kern w:val="0"/>
        </w:rPr>
        <w:t>このような状況を踏まえて、令和５年度当初予算は、「府政運営の基本方針２０２３（案）」に基づき、下記の要領により編成するものとする。</w:t>
      </w:r>
    </w:p>
    <w:p w:rsidR="00E467C6" w:rsidRDefault="00E467C6">
      <w:pPr>
        <w:widowControl/>
        <w:jc w:val="left"/>
        <w:rPr>
          <w:rFonts w:asciiTheme="minorEastAsia" w:eastAsiaTheme="minorEastAsia" w:hAnsiTheme="minorEastAsia"/>
          <w:kern w:val="0"/>
        </w:rPr>
      </w:pPr>
      <w:r>
        <w:rPr>
          <w:rFonts w:asciiTheme="minorEastAsia" w:eastAsiaTheme="minorEastAsia" w:hAnsiTheme="minorEastAsia"/>
          <w:kern w:val="0"/>
        </w:rPr>
        <w:br w:type="page"/>
      </w:r>
    </w:p>
    <w:p w:rsidR="004E6F5C" w:rsidRDefault="004E6F5C" w:rsidP="004E6F5C">
      <w:pPr>
        <w:autoSpaceDE w:val="0"/>
        <w:autoSpaceDN w:val="0"/>
        <w:spacing w:line="460" w:lineRule="exact"/>
        <w:ind w:firstLineChars="100" w:firstLine="240"/>
        <w:jc w:val="center"/>
        <w:rPr>
          <w:rFonts w:asciiTheme="minorEastAsia" w:eastAsiaTheme="minorEastAsia" w:hAnsiTheme="minorEastAsia"/>
          <w:kern w:val="0"/>
        </w:rPr>
      </w:pPr>
      <w:r>
        <w:rPr>
          <w:rFonts w:asciiTheme="minorEastAsia" w:eastAsiaTheme="minorEastAsia" w:hAnsiTheme="minorEastAsia" w:hint="eastAsia"/>
          <w:kern w:val="0"/>
        </w:rPr>
        <w:lastRenderedPageBreak/>
        <w:t>記</w:t>
      </w:r>
    </w:p>
    <w:p w:rsidR="004E6F5C" w:rsidRDefault="004E6F5C" w:rsidP="004E6F5C">
      <w:pPr>
        <w:autoSpaceDE w:val="0"/>
        <w:autoSpaceDN w:val="0"/>
        <w:spacing w:line="460" w:lineRule="exact"/>
        <w:ind w:firstLineChars="100" w:firstLine="240"/>
        <w:rPr>
          <w:rFonts w:asciiTheme="minorEastAsia" w:eastAsiaTheme="minorEastAsia" w:hAnsiTheme="minorEastAsia"/>
          <w:kern w:val="0"/>
        </w:rPr>
      </w:pPr>
    </w:p>
    <w:p w:rsidR="004E6F5C" w:rsidRDefault="004E6F5C" w:rsidP="004E6F5C">
      <w:pPr>
        <w:autoSpaceDE w:val="0"/>
        <w:autoSpaceDN w:val="0"/>
        <w:spacing w:line="460" w:lineRule="exact"/>
        <w:ind w:firstLineChars="100" w:firstLine="240"/>
        <w:rPr>
          <w:rFonts w:asciiTheme="minorEastAsia" w:eastAsiaTheme="minorEastAsia" w:hAnsiTheme="minorEastAsia"/>
          <w:kern w:val="0"/>
        </w:rPr>
      </w:pP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Ⅰ　総括的事項</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p>
    <w:p w:rsidR="00E467C6" w:rsidRPr="00E467C6" w:rsidRDefault="00E467C6" w:rsidP="00234C23">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 xml:space="preserve">１　</w:t>
      </w:r>
      <w:r w:rsidR="00CE668E" w:rsidRPr="00CE668E">
        <w:rPr>
          <w:rFonts w:asciiTheme="minorEastAsia" w:eastAsiaTheme="minorEastAsia" w:hAnsiTheme="minorEastAsia" w:hint="eastAsia"/>
          <w:kern w:val="0"/>
        </w:rPr>
        <w:t>通年予算として、年間を通じた所要額を要求すること。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 xml:space="preserve">　</w:t>
      </w:r>
    </w:p>
    <w:p w:rsidR="00E467C6" w:rsidRPr="00E467C6" w:rsidRDefault="00234C23" w:rsidP="00E467C6">
      <w:pPr>
        <w:autoSpaceDE w:val="0"/>
        <w:autoSpaceDN w:val="0"/>
        <w:spacing w:line="460" w:lineRule="exact"/>
        <w:ind w:leftChars="100" w:left="480" w:hangingChars="100" w:hanging="240"/>
        <w:rPr>
          <w:rFonts w:asciiTheme="minorEastAsia" w:eastAsiaTheme="minorEastAsia" w:hAnsiTheme="minorEastAsia"/>
          <w:kern w:val="0"/>
        </w:rPr>
      </w:pPr>
      <w:r>
        <w:rPr>
          <w:rFonts w:asciiTheme="minorEastAsia" w:eastAsiaTheme="minorEastAsia" w:hAnsiTheme="minorEastAsia" w:hint="eastAsia"/>
          <w:kern w:val="0"/>
        </w:rPr>
        <w:t>２　「令和４</w:t>
      </w:r>
      <w:r w:rsidR="00E467C6" w:rsidRPr="00E467C6">
        <w:rPr>
          <w:rFonts w:asciiTheme="minorEastAsia" w:eastAsiaTheme="minorEastAsia" w:hAnsiTheme="minorEastAsia" w:hint="eastAsia"/>
          <w:kern w:val="0"/>
        </w:rPr>
        <w:t>年度大阪府行政経営の取組み」の理念を踏まえ、改革に引き続き取り組むこと。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３　各部局は、事業の優先性や事業選択の妥当性とともに、事業効果を重視した点検・検証（ＰＤＣＡ）を行うなど、これまで以上に部局長マネジメントを発揮し、一層の事務事業の見直し・改善などにより、事業の重点化に取り組むこと。</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なお、部局横断的な行政課題については、関係する担当部局間においてあらかじめ十分に協議を行い、施策の効果的・効率的な実施を図ること。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４　「当面の財政運営の取組み（案）」（以下「取組み（案）」という。）の取組例に掲げた、歳入の確保・歳出の見直しの検討・具体化を進めること。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５　事業の実施については、府として主体性を持って厳しく選択した上で、有利な地方財政措置がある国の制度の活用を積極的に検討すること。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 xml:space="preserve">　</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６　市町村との役割分担については、現行制度における権限や財源等の配分を踏まえて整理すること。また、市町村や民間などが本来の主体であるものについては、府の役割を整理し、可能なものについては、移行を早め、撤退すること。</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府が民間等と協力して進められる事業については、施策効果を高めるため、</w:t>
      </w:r>
      <w:r w:rsidR="00D51797" w:rsidRPr="00D51797">
        <w:rPr>
          <w:rFonts w:asciiTheme="minorEastAsia" w:eastAsiaTheme="minorEastAsia" w:hAnsiTheme="minorEastAsia" w:hint="eastAsia"/>
          <w:kern w:val="0"/>
        </w:rPr>
        <w:t>公民連携や</w:t>
      </w:r>
      <w:r w:rsidRPr="00E467C6">
        <w:rPr>
          <w:rFonts w:asciiTheme="minorEastAsia" w:eastAsiaTheme="minorEastAsia" w:hAnsiTheme="minorEastAsia" w:hint="eastAsia"/>
          <w:kern w:val="0"/>
        </w:rPr>
        <w:t>民間資金の活用も含めた民間等との連携を積極的に検討すること。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７　監査委員が行う各種監査、外部監査人が行う外部監査、地方独立行政法人評価</w:t>
      </w:r>
      <w:r w:rsidRPr="00E467C6">
        <w:rPr>
          <w:rFonts w:asciiTheme="minorEastAsia" w:eastAsiaTheme="minorEastAsia" w:hAnsiTheme="minorEastAsia" w:hint="eastAsia"/>
          <w:kern w:val="0"/>
        </w:rPr>
        <w:lastRenderedPageBreak/>
        <w:t>委員会が行う評価などにより受けた指摘・意見については、その改善内容を要求に反映させること。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p>
    <w:p w:rsidR="00CD4682" w:rsidRPr="00CD4682"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８　人員体制に関連する予算の取扱いについては、別途通知を踏まえて適切に対応すること。</w:t>
      </w:r>
    </w:p>
    <w:p w:rsidR="00CD4682" w:rsidRDefault="00CD4682" w:rsidP="00CD4682">
      <w:pPr>
        <w:autoSpaceDE w:val="0"/>
        <w:autoSpaceDN w:val="0"/>
        <w:spacing w:line="460" w:lineRule="exact"/>
        <w:ind w:firstLineChars="100" w:firstLine="240"/>
        <w:rPr>
          <w:rFonts w:asciiTheme="minorEastAsia" w:eastAsiaTheme="minorEastAsia" w:hAnsiTheme="minorEastAsia"/>
          <w:kern w:val="0"/>
        </w:rPr>
      </w:pPr>
    </w:p>
    <w:p w:rsidR="00DF3744" w:rsidRPr="00DF3744" w:rsidRDefault="00DF3744" w:rsidP="00DF3744">
      <w:pPr>
        <w:autoSpaceDE w:val="0"/>
        <w:autoSpaceDN w:val="0"/>
        <w:spacing w:line="460" w:lineRule="exact"/>
        <w:ind w:firstLineChars="100" w:firstLine="240"/>
        <w:rPr>
          <w:rFonts w:asciiTheme="minorEastAsia" w:eastAsiaTheme="minorEastAsia" w:hAnsiTheme="minorEastAsia"/>
          <w:kern w:val="0"/>
        </w:rPr>
      </w:pPr>
    </w:p>
    <w:p w:rsidR="00E467C6" w:rsidRPr="00E467C6" w:rsidRDefault="00E467C6" w:rsidP="00E467C6">
      <w:pPr>
        <w:autoSpaceDE w:val="0"/>
        <w:autoSpaceDN w:val="0"/>
        <w:spacing w:line="460" w:lineRule="exact"/>
        <w:ind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Ⅱ　歳入に関する事項</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p>
    <w:p w:rsidR="00E467C6" w:rsidRPr="00E467C6" w:rsidRDefault="00E467C6" w:rsidP="00E467C6">
      <w:pPr>
        <w:autoSpaceDE w:val="0"/>
        <w:autoSpaceDN w:val="0"/>
        <w:spacing w:line="460" w:lineRule="exact"/>
        <w:ind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１　府税</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税制改正や府内の景気動向等を的確に把握するとともに、課税客体、課税標準の精査により、適正な額を見積もること。</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p>
    <w:p w:rsidR="00E467C6" w:rsidRPr="00E467C6" w:rsidRDefault="00E467C6" w:rsidP="00E467C6">
      <w:pPr>
        <w:autoSpaceDE w:val="0"/>
        <w:autoSpaceDN w:val="0"/>
        <w:spacing w:line="460" w:lineRule="exact"/>
        <w:ind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２　国庫支出金</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国庫支出金については、国の制度改正や予算編成の動向等を十分勘案し、充当可能な事業は、原則としてその確保を前提とすること。</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なお、超過負担が生じているものについては、実態を十分に把握した上で、関係省庁に是正を働きかけるなど、その解消に努めること。</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p>
    <w:p w:rsidR="00E467C6" w:rsidRPr="00E467C6" w:rsidRDefault="00E467C6" w:rsidP="00E467C6">
      <w:pPr>
        <w:autoSpaceDE w:val="0"/>
        <w:autoSpaceDN w:val="0"/>
        <w:spacing w:line="460" w:lineRule="exact"/>
        <w:ind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３　府債</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将来世代に負担を先送りしない観点から、府債の活用にあたっては、公債費が将来における府の過重な負担とならないよう、必要性を厳しく精査すること。</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p>
    <w:p w:rsidR="00E467C6" w:rsidRPr="00E467C6" w:rsidRDefault="00E467C6" w:rsidP="00E467C6">
      <w:pPr>
        <w:autoSpaceDE w:val="0"/>
        <w:autoSpaceDN w:val="0"/>
        <w:spacing w:line="460" w:lineRule="exact"/>
        <w:ind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４　使用料・手数料</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受益と負担の明確化を図る観</w:t>
      </w:r>
      <w:r>
        <w:rPr>
          <w:rFonts w:asciiTheme="minorEastAsia" w:eastAsiaTheme="minorEastAsia" w:hAnsiTheme="minorEastAsia" w:hint="eastAsia"/>
          <w:kern w:val="0"/>
        </w:rPr>
        <w:t>点から、</w:t>
      </w:r>
      <w:r w:rsidR="00AD7910">
        <w:rPr>
          <w:rFonts w:asciiTheme="minorEastAsia" w:eastAsiaTheme="minorEastAsia" w:hAnsiTheme="minorEastAsia" w:hint="eastAsia"/>
          <w:kern w:val="0"/>
        </w:rPr>
        <w:t>令和５</w:t>
      </w:r>
      <w:r w:rsidRPr="00E467C6">
        <w:rPr>
          <w:rFonts w:asciiTheme="minorEastAsia" w:eastAsiaTheme="minorEastAsia" w:hAnsiTheme="minorEastAsia" w:hint="eastAsia"/>
          <w:kern w:val="0"/>
        </w:rPr>
        <w:t>年度当初において使用料・手数料の設定・改定が必要なものについては、適切に手続きを行うこと。</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なお、その設定・改定に当たっては、フルコスト計算による原価を基本とすること。</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p>
    <w:p w:rsidR="00E467C6" w:rsidRPr="00E467C6" w:rsidRDefault="00E467C6" w:rsidP="00E467C6">
      <w:pPr>
        <w:autoSpaceDE w:val="0"/>
        <w:autoSpaceDN w:val="0"/>
        <w:spacing w:line="460" w:lineRule="exact"/>
        <w:ind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lastRenderedPageBreak/>
        <w:t>５　その他</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地方財政対策や過去の実績等を勘案し、歳入を的確に見積もること。取組み（案）を踏まえ、公共施設や印刷物等を利用した広告収入の拡大など、ストックを活用した積極的な歳入確保に努めること。</w:t>
      </w:r>
    </w:p>
    <w:p w:rsidR="00CD4682" w:rsidRPr="00DF3744"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また、「大阪府ファシリティマネジメント基本方針」（以下「ＦＭ基本方針」という。）に掲げる総量最適化・有効活用の観点等を踏まえ、府有財産の活用と売却による歳入確保に努めること。</w:t>
      </w:r>
    </w:p>
    <w:p w:rsidR="00CD4682" w:rsidRPr="00CD4682" w:rsidRDefault="00CD4682" w:rsidP="00CD4682">
      <w:pPr>
        <w:autoSpaceDE w:val="0"/>
        <w:autoSpaceDN w:val="0"/>
        <w:spacing w:line="460" w:lineRule="exact"/>
        <w:ind w:firstLineChars="100" w:firstLine="240"/>
        <w:rPr>
          <w:rFonts w:asciiTheme="minorEastAsia" w:eastAsiaTheme="minorEastAsia" w:hAnsiTheme="minorEastAsia"/>
          <w:kern w:val="0"/>
        </w:rPr>
      </w:pPr>
    </w:p>
    <w:p w:rsidR="00CD4682" w:rsidRPr="00CD4682" w:rsidRDefault="00CD4682" w:rsidP="00CD4682">
      <w:pPr>
        <w:autoSpaceDE w:val="0"/>
        <w:autoSpaceDN w:val="0"/>
        <w:spacing w:line="460" w:lineRule="exact"/>
        <w:ind w:firstLineChars="100" w:firstLine="240"/>
        <w:rPr>
          <w:rFonts w:asciiTheme="minorEastAsia" w:eastAsiaTheme="minorEastAsia" w:hAnsiTheme="minorEastAsia"/>
          <w:kern w:val="0"/>
        </w:rPr>
      </w:pPr>
    </w:p>
    <w:p w:rsidR="00CD4682" w:rsidRPr="00CD4682" w:rsidRDefault="00CD4682" w:rsidP="00CD4682">
      <w:pPr>
        <w:autoSpaceDE w:val="0"/>
        <w:autoSpaceDN w:val="0"/>
        <w:spacing w:line="460" w:lineRule="exact"/>
        <w:ind w:firstLineChars="100" w:firstLine="240"/>
        <w:rPr>
          <w:rFonts w:asciiTheme="minorEastAsia" w:eastAsiaTheme="minorEastAsia" w:hAnsiTheme="minorEastAsia"/>
          <w:kern w:val="0"/>
        </w:rPr>
      </w:pPr>
      <w:r w:rsidRPr="00CD4682">
        <w:rPr>
          <w:rFonts w:asciiTheme="minorEastAsia" w:eastAsiaTheme="minorEastAsia" w:hAnsiTheme="minorEastAsia" w:hint="eastAsia"/>
          <w:kern w:val="0"/>
        </w:rPr>
        <w:t>Ⅲ　歳出に関する事項</w:t>
      </w:r>
    </w:p>
    <w:p w:rsidR="00CD4682" w:rsidRPr="00CD4682" w:rsidRDefault="00CD4682" w:rsidP="00CD4682">
      <w:pPr>
        <w:autoSpaceDE w:val="0"/>
        <w:autoSpaceDN w:val="0"/>
        <w:spacing w:line="460" w:lineRule="exact"/>
        <w:ind w:firstLineChars="100" w:firstLine="240"/>
        <w:rPr>
          <w:rFonts w:asciiTheme="minorEastAsia" w:eastAsiaTheme="minorEastAsia" w:hAnsiTheme="minorEastAsia"/>
          <w:kern w:val="0"/>
        </w:rPr>
      </w:pP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１　義務的経費</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義務的経費については、関連する制度の改正等に十分注意するとともに、対象者数等のより正確な把握に努め、所要額を十分精査した上で、要求すること。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２　経常的経費・政策的経費</w:t>
      </w:r>
    </w:p>
    <w:p w:rsidR="00E467C6" w:rsidRPr="00E467C6" w:rsidRDefault="00E467C6" w:rsidP="00E467C6">
      <w:pPr>
        <w:autoSpaceDE w:val="0"/>
        <w:autoSpaceDN w:val="0"/>
        <w:spacing w:line="460" w:lineRule="exact"/>
        <w:ind w:leftChars="200" w:left="480" w:firstLineChars="100" w:firstLine="240"/>
        <w:rPr>
          <w:rFonts w:asciiTheme="minorEastAsia" w:eastAsiaTheme="minorEastAsia" w:hAnsiTheme="minorEastAsia"/>
          <w:kern w:val="0"/>
        </w:rPr>
      </w:pPr>
      <w:r w:rsidRPr="00E467C6">
        <w:rPr>
          <w:rFonts w:asciiTheme="minorEastAsia" w:eastAsiaTheme="minorEastAsia" w:hAnsiTheme="minorEastAsia" w:hint="eastAsia"/>
          <w:kern w:val="0"/>
        </w:rPr>
        <w:t>府政の喫緊の課題に的確に対応するため、以下により要求すること。</w:t>
      </w:r>
    </w:p>
    <w:p w:rsidR="00E467C6" w:rsidRPr="00E467C6" w:rsidRDefault="00E467C6" w:rsidP="00DA301D">
      <w:pPr>
        <w:autoSpaceDE w:val="0"/>
        <w:autoSpaceDN w:val="0"/>
        <w:spacing w:line="460" w:lineRule="exact"/>
        <w:ind w:leftChars="164" w:left="514" w:hangingChars="50" w:hanging="120"/>
        <w:rPr>
          <w:rFonts w:asciiTheme="minorEastAsia" w:eastAsiaTheme="minorEastAsia" w:hAnsiTheme="minorEastAsia"/>
          <w:kern w:val="0"/>
        </w:rPr>
      </w:pPr>
      <w:r w:rsidRPr="00E467C6">
        <w:rPr>
          <w:rFonts w:asciiTheme="minorEastAsia" w:eastAsiaTheme="minorEastAsia" w:hAnsiTheme="minorEastAsia" w:hint="eastAsia"/>
          <w:kern w:val="0"/>
        </w:rPr>
        <w:t>(1)  全ての事業について、事業目標を達成するための手法としての妥当性、効率性、期待される効果、実績・決算等を分析・検証すること。特に、既存事業については、情勢の変化なども踏まえ、効果・実績を裏付ける根拠を十分に説明できないものは廃止・見直しを行うこと。</w:t>
      </w:r>
    </w:p>
    <w:p w:rsidR="00E467C6" w:rsidRDefault="00E467C6" w:rsidP="00AD7910">
      <w:pPr>
        <w:autoSpaceDE w:val="0"/>
        <w:autoSpaceDN w:val="0"/>
        <w:spacing w:line="460" w:lineRule="exact"/>
        <w:ind w:leftChars="150" w:left="60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(2)  新規</w:t>
      </w:r>
      <w:r>
        <w:rPr>
          <w:rFonts w:asciiTheme="minorEastAsia" w:eastAsiaTheme="minorEastAsia" w:hAnsiTheme="minorEastAsia" w:hint="eastAsia"/>
          <w:kern w:val="0"/>
        </w:rPr>
        <w:t>・拡充事業については、既存事業の見直しにより財源を捻出すること。</w:t>
      </w:r>
      <w:r w:rsidR="009B70F9" w:rsidRPr="009B70F9">
        <w:rPr>
          <w:rFonts w:asciiTheme="minorEastAsia" w:eastAsiaTheme="minorEastAsia" w:hAnsiTheme="minorEastAsia" w:hint="eastAsia"/>
          <w:kern w:val="0"/>
        </w:rPr>
        <w:t>また、別途示す事項に留意して要求すること。</w:t>
      </w:r>
    </w:p>
    <w:p w:rsidR="00E467C6" w:rsidRPr="00E467C6" w:rsidRDefault="00E467C6" w:rsidP="00DA301D">
      <w:pPr>
        <w:autoSpaceDE w:val="0"/>
        <w:autoSpaceDN w:val="0"/>
        <w:spacing w:line="460" w:lineRule="exact"/>
        <w:ind w:leftChars="150" w:left="60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 xml:space="preserve">(3)  </w:t>
      </w:r>
      <w:r w:rsidR="00DC0BCF">
        <w:rPr>
          <w:rFonts w:asciiTheme="minorEastAsia" w:eastAsiaTheme="minorEastAsia" w:hAnsiTheme="minorEastAsia" w:hint="eastAsia"/>
          <w:kern w:val="0"/>
        </w:rPr>
        <w:t>経常的経費・政策的経費のそれぞれについて、</w:t>
      </w:r>
      <w:r w:rsidR="00D51797" w:rsidRPr="00D51797">
        <w:rPr>
          <w:rFonts w:asciiTheme="minorEastAsia" w:eastAsiaTheme="minorEastAsia" w:hAnsiTheme="minorEastAsia" w:hint="eastAsia"/>
          <w:kern w:val="0"/>
        </w:rPr>
        <w:t>前年度一般財源の範囲内（以下、「要求上限額」という。）での要求を遵守すること。</w:t>
      </w:r>
      <w:r w:rsidRPr="00E467C6">
        <w:rPr>
          <w:rFonts w:asciiTheme="minorEastAsia" w:eastAsiaTheme="minorEastAsia" w:hAnsiTheme="minorEastAsia" w:hint="eastAsia"/>
          <w:kern w:val="0"/>
        </w:rPr>
        <w:t>なお、経常的経費について、各部局の要求額が要求上限額を下回る場合、その差額については、政策的経費の要求財源とすることができるものとする。</w:t>
      </w:r>
    </w:p>
    <w:p w:rsidR="00E467C6" w:rsidRPr="00E467C6" w:rsidRDefault="00E467C6" w:rsidP="00DA301D">
      <w:pPr>
        <w:autoSpaceDE w:val="0"/>
        <w:autoSpaceDN w:val="0"/>
        <w:spacing w:line="460" w:lineRule="exact"/>
        <w:ind w:firstLineChars="400" w:firstLine="960"/>
        <w:rPr>
          <w:rFonts w:asciiTheme="minorEastAsia" w:eastAsiaTheme="minorEastAsia" w:hAnsiTheme="minorEastAsia"/>
          <w:kern w:val="0"/>
        </w:rPr>
      </w:pPr>
      <w:r w:rsidRPr="00E467C6">
        <w:rPr>
          <w:rFonts w:asciiTheme="minorEastAsia" w:eastAsiaTheme="minorEastAsia" w:hAnsiTheme="minorEastAsia" w:hint="eastAsia"/>
          <w:kern w:val="0"/>
        </w:rPr>
        <w:t>ただし、以下のものは要求上限対象外事業とし、所要額を要求すること。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00DA301D">
        <w:rPr>
          <w:rFonts w:asciiTheme="minorEastAsia" w:eastAsiaTheme="minorEastAsia" w:hAnsiTheme="minorEastAsia"/>
          <w:kern w:val="0"/>
        </w:rPr>
        <w:t xml:space="preserve"> </w:t>
      </w:r>
      <w:r w:rsidRPr="00E467C6">
        <w:rPr>
          <w:rFonts w:asciiTheme="minorEastAsia" w:eastAsiaTheme="minorEastAsia" w:hAnsiTheme="minorEastAsia" w:hint="eastAsia"/>
          <w:kern w:val="0"/>
        </w:rPr>
        <w:t>・　人件費等</w:t>
      </w:r>
    </w:p>
    <w:p w:rsidR="00D51797" w:rsidRDefault="00D51797" w:rsidP="00234C23">
      <w:pPr>
        <w:autoSpaceDE w:val="0"/>
        <w:autoSpaceDN w:val="0"/>
        <w:spacing w:line="460" w:lineRule="exact"/>
        <w:ind w:leftChars="400" w:left="1080" w:hangingChars="50" w:hanging="120"/>
        <w:rPr>
          <w:rFonts w:asciiTheme="minorEastAsia" w:eastAsiaTheme="minorEastAsia" w:hAnsiTheme="minorEastAsia"/>
          <w:kern w:val="0"/>
        </w:rPr>
      </w:pPr>
      <w:r w:rsidRPr="00D51797">
        <w:rPr>
          <w:rFonts w:asciiTheme="minorEastAsia" w:eastAsiaTheme="minorEastAsia" w:hAnsiTheme="minorEastAsia" w:hint="eastAsia"/>
          <w:kern w:val="0"/>
        </w:rPr>
        <w:lastRenderedPageBreak/>
        <w:t>（非常勤職員等報酬・期末手当・共済費、派遣職員等人件費負担金、支弁人件費、歳計現一時借入金利子、府有資産所在市町村交付金、公債管理特別会計繰出金、</w:t>
      </w:r>
      <w:r w:rsidR="00234C23" w:rsidRPr="00234C23">
        <w:rPr>
          <w:rFonts w:asciiTheme="minorEastAsia" w:eastAsiaTheme="minorEastAsia" w:hAnsiTheme="minorEastAsia" w:hint="eastAsia"/>
          <w:kern w:val="0"/>
        </w:rPr>
        <w:t>電気</w:t>
      </w:r>
      <w:r w:rsidR="00AD7910">
        <w:rPr>
          <w:rFonts w:asciiTheme="minorEastAsia" w:eastAsiaTheme="minorEastAsia" w:hAnsiTheme="minorEastAsia" w:hint="eastAsia"/>
          <w:kern w:val="0"/>
        </w:rPr>
        <w:t>料</w:t>
      </w:r>
      <w:r w:rsidR="00234C23" w:rsidRPr="00234C23">
        <w:rPr>
          <w:rFonts w:asciiTheme="minorEastAsia" w:eastAsiaTheme="minorEastAsia" w:hAnsiTheme="minorEastAsia" w:hint="eastAsia"/>
          <w:kern w:val="0"/>
        </w:rPr>
        <w:t>・ガス料</w:t>
      </w:r>
      <w:r w:rsidR="00234C23">
        <w:rPr>
          <w:rFonts w:asciiTheme="minorEastAsia" w:eastAsiaTheme="minorEastAsia" w:hAnsiTheme="minorEastAsia" w:hint="eastAsia"/>
          <w:kern w:val="0"/>
        </w:rPr>
        <w:t>、</w:t>
      </w:r>
      <w:r w:rsidRPr="00D51797">
        <w:rPr>
          <w:rFonts w:asciiTheme="minorEastAsia" w:eastAsiaTheme="minorEastAsia" w:hAnsiTheme="minorEastAsia" w:hint="eastAsia"/>
          <w:kern w:val="0"/>
        </w:rPr>
        <w:t>その他法令等により、支出が義務付けられ、額に裁量の余地がないもの等）</w:t>
      </w:r>
    </w:p>
    <w:p w:rsidR="00E467C6" w:rsidRPr="00E467C6" w:rsidRDefault="00E467C6" w:rsidP="00DA301D">
      <w:pPr>
        <w:autoSpaceDE w:val="0"/>
        <w:autoSpaceDN w:val="0"/>
        <w:spacing w:line="460" w:lineRule="exact"/>
        <w:ind w:leftChars="400" w:left="1080" w:hangingChars="50" w:hanging="120"/>
        <w:rPr>
          <w:rFonts w:asciiTheme="minorEastAsia" w:eastAsiaTheme="minorEastAsia" w:hAnsiTheme="minorEastAsia"/>
          <w:kern w:val="0"/>
        </w:rPr>
      </w:pPr>
      <w:r w:rsidRPr="00E467C6">
        <w:rPr>
          <w:rFonts w:asciiTheme="minorEastAsia" w:eastAsiaTheme="minorEastAsia" w:hAnsiTheme="minorEastAsia" w:hint="eastAsia"/>
          <w:kern w:val="0"/>
        </w:rPr>
        <w:t>・　財政収支への影響が大きいと考えられる事業</w:t>
      </w:r>
      <w:r w:rsidR="00D51797">
        <w:rPr>
          <w:rFonts w:asciiTheme="minorEastAsia" w:eastAsiaTheme="minorEastAsia" w:hAnsiTheme="minorEastAsia" w:hint="eastAsia"/>
          <w:kern w:val="0"/>
        </w:rPr>
        <w:t>等</w:t>
      </w:r>
      <w:r w:rsidRPr="00E467C6">
        <w:rPr>
          <w:rFonts w:asciiTheme="minorEastAsia" w:eastAsiaTheme="minorEastAsia" w:hAnsiTheme="minorEastAsia" w:hint="eastAsia"/>
          <w:kern w:val="0"/>
        </w:rPr>
        <w:t xml:space="preserve">として財政課が指定したもの </w:t>
      </w:r>
    </w:p>
    <w:p w:rsidR="00E467C6" w:rsidRPr="00E467C6" w:rsidRDefault="000152C4" w:rsidP="00DA301D">
      <w:pPr>
        <w:autoSpaceDE w:val="0"/>
        <w:autoSpaceDN w:val="0"/>
        <w:spacing w:line="460" w:lineRule="exact"/>
        <w:ind w:leftChars="200" w:left="480" w:firstLineChars="200" w:firstLine="480"/>
        <w:rPr>
          <w:rFonts w:asciiTheme="minorEastAsia" w:eastAsiaTheme="minorEastAsia" w:hAnsiTheme="minorEastAsia"/>
          <w:kern w:val="0"/>
        </w:rPr>
      </w:pPr>
      <w:r>
        <w:rPr>
          <w:rFonts w:asciiTheme="minorEastAsia" w:eastAsiaTheme="minorEastAsia" w:hAnsiTheme="minorEastAsia" w:hint="eastAsia"/>
          <w:kern w:val="0"/>
        </w:rPr>
        <w:t>・　令和４</w:t>
      </w:r>
      <w:r w:rsidR="00E467C6" w:rsidRPr="00E467C6">
        <w:rPr>
          <w:rFonts w:asciiTheme="minorEastAsia" w:eastAsiaTheme="minorEastAsia" w:hAnsiTheme="minorEastAsia" w:hint="eastAsia"/>
          <w:kern w:val="0"/>
        </w:rPr>
        <w:t>年度限りで廃止する事業のうち、財政課が指定したもの</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３　共通事項</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(1)　過去の当初予算額と決算額の乖離の状況を踏まえ、真に必要な額を要求すること。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(2)　基準財政需要額の算入状況を踏まえるとともに、他団体等との役割分担の整理や他府県の事業水準との比較を行うこと。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(3)　人件費や公債費を含むフルコストの視点を踏まえるとともに、受益者が特定される事業には適正な受益者負担を設定すること。また、補助金や交付金等の支出先に、対象事業にかかる基金や繰越金など一定の財政力・資金力がある場合は、そのことを考慮の上、休止又は減額する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(4)  要求にあたっては、後年度の財政負担にも十分留意し、以下の点に取り組むこと。</w:t>
      </w:r>
    </w:p>
    <w:p w:rsidR="00E467C6" w:rsidRPr="00E467C6" w:rsidRDefault="00E467C6" w:rsidP="00DA301D">
      <w:pPr>
        <w:autoSpaceDE w:val="0"/>
        <w:autoSpaceDN w:val="0"/>
        <w:spacing w:line="460" w:lineRule="exact"/>
        <w:ind w:leftChars="200" w:left="72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　室・課の事務費や法令により義務付けられた事業で制度上終期のないものなど、終期設定が困難な場合を除き、事業ごとに終期を設定すること。</w:t>
      </w:r>
    </w:p>
    <w:p w:rsidR="00E467C6" w:rsidRPr="00E467C6" w:rsidRDefault="00E467C6" w:rsidP="00DA301D">
      <w:pPr>
        <w:autoSpaceDE w:val="0"/>
        <w:autoSpaceDN w:val="0"/>
        <w:spacing w:line="460" w:lineRule="exact"/>
        <w:ind w:leftChars="200" w:left="72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 目標を達成するなど一定の条件を満たした場合や、目標を達成する見込みがないと判断される場合には事業を終了させるといった「見直しルール」を設定すること。</w:t>
      </w:r>
    </w:p>
    <w:p w:rsidR="00E467C6" w:rsidRPr="00E467C6" w:rsidRDefault="00E467C6" w:rsidP="00DA301D">
      <w:pPr>
        <w:autoSpaceDE w:val="0"/>
        <w:autoSpaceDN w:val="0"/>
        <w:spacing w:line="460" w:lineRule="exact"/>
        <w:ind w:leftChars="200" w:left="480"/>
        <w:rPr>
          <w:rFonts w:asciiTheme="minorEastAsia" w:eastAsiaTheme="minorEastAsia" w:hAnsiTheme="minorEastAsia"/>
          <w:kern w:val="0"/>
        </w:rPr>
      </w:pPr>
      <w:r w:rsidRPr="00E467C6">
        <w:rPr>
          <w:rFonts w:asciiTheme="minorEastAsia" w:eastAsiaTheme="minorEastAsia" w:hAnsiTheme="minorEastAsia" w:hint="eastAsia"/>
          <w:kern w:val="0"/>
        </w:rPr>
        <w:t>・　義務的経費を除く全ての事業に活動（アウトプット）指標を設定すること。</w:t>
      </w:r>
    </w:p>
    <w:p w:rsidR="00E467C6" w:rsidRPr="00E467C6" w:rsidRDefault="00E467C6" w:rsidP="00DA301D">
      <w:pPr>
        <w:autoSpaceDE w:val="0"/>
        <w:autoSpaceDN w:val="0"/>
        <w:spacing w:line="460" w:lineRule="exact"/>
        <w:ind w:leftChars="200" w:left="72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　原則として、義務的経費を除く全ての事業に、可能な限り定量的な成果（アウトカム）指標を設定すること。継続事業については、成果（アウトカム）指標の達成状況について、評価・検証を行うこと。</w:t>
      </w:r>
    </w:p>
    <w:p w:rsidR="00E467C6" w:rsidRPr="00E467C6" w:rsidRDefault="00E467C6" w:rsidP="00DA301D">
      <w:pPr>
        <w:autoSpaceDE w:val="0"/>
        <w:autoSpaceDN w:val="0"/>
        <w:spacing w:line="460" w:lineRule="exact"/>
        <w:ind w:leftChars="200" w:left="72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　事業の必要性、有用性等について、客観的なデータなどのエビデンスに基づ</w:t>
      </w:r>
      <w:r w:rsidRPr="00E467C6">
        <w:rPr>
          <w:rFonts w:asciiTheme="minorEastAsia" w:eastAsiaTheme="minorEastAsia" w:hAnsiTheme="minorEastAsia" w:hint="eastAsia"/>
          <w:kern w:val="0"/>
        </w:rPr>
        <w:lastRenderedPageBreak/>
        <w:t>いて説明すること。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(5)　債務負担行為の設定に際しては、将来における府の負担が過重なものとならないよう、また、将来世代への負担の先送りとならないよう、厳しく精査すること。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 xml:space="preserve">　</w:t>
      </w:r>
      <w:r w:rsidR="00DA301D">
        <w:rPr>
          <w:rFonts w:asciiTheme="minorEastAsia" w:eastAsiaTheme="minorEastAsia" w:hAnsiTheme="minorEastAsia" w:hint="eastAsia"/>
          <w:kern w:val="0"/>
        </w:rPr>
        <w:t xml:space="preserve">  </w:t>
      </w:r>
      <w:r w:rsidRPr="00E467C6">
        <w:rPr>
          <w:rFonts w:asciiTheme="minorEastAsia" w:eastAsiaTheme="minorEastAsia" w:hAnsiTheme="minorEastAsia" w:hint="eastAsia"/>
          <w:kern w:val="0"/>
        </w:rPr>
        <w:t>特に、損失補償及び債務保証については、後年度に多額の財政負担を生じさせる潜在的な要因となることから、原則として行わないこと。なお、やむを得ず行う場合は、その必要性、事業の採算性、相手方の財務状況や設定内容が適切かどうかなどを十分に精査すること。</w:t>
      </w:r>
    </w:p>
    <w:p w:rsidR="00E467C6" w:rsidRPr="00E467C6"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(6)　団体や府民等に対する貸付金等の債権については、「債権管理適正化指針」に基づき、一層の適正化を図る観点から、貸付所要額を精査するとともに新規貸付については、施策目的も踏まえつつ、債権保全のために必要な措置を講じること。</w:t>
      </w:r>
    </w:p>
    <w:p w:rsidR="00CD4682" w:rsidRDefault="00E467C6" w:rsidP="00E467C6">
      <w:pPr>
        <w:autoSpaceDE w:val="0"/>
        <w:autoSpaceDN w:val="0"/>
        <w:spacing w:line="460" w:lineRule="exact"/>
        <w:ind w:leftChars="100" w:left="480" w:hangingChars="100" w:hanging="240"/>
        <w:rPr>
          <w:rFonts w:asciiTheme="minorEastAsia" w:eastAsiaTheme="minorEastAsia" w:hAnsiTheme="minorEastAsia"/>
          <w:kern w:val="0"/>
        </w:rPr>
      </w:pPr>
      <w:r w:rsidRPr="00E467C6">
        <w:rPr>
          <w:rFonts w:asciiTheme="minorEastAsia" w:eastAsiaTheme="minorEastAsia" w:hAnsiTheme="minorEastAsia" w:hint="eastAsia"/>
          <w:kern w:val="0"/>
        </w:rPr>
        <w:t>(7)　公共施設等の修繕･更新については、｢ＦＭ基本方針」に基づいて要求すること。建物の予防保全・更新については、建築後２５・５０年目の施設の点検等により決定した活用方針に沿った工事かつ財産活用課が示す優先度に基づく工事に限り、要求上限対象外事業とし、所要額を要求すること。なお、事後保全等については、各部局の要求上限額で要求すること。</w:t>
      </w:r>
    </w:p>
    <w:p w:rsidR="00DF3744" w:rsidRDefault="00DF3744" w:rsidP="00DF3744">
      <w:pPr>
        <w:autoSpaceDE w:val="0"/>
        <w:autoSpaceDN w:val="0"/>
        <w:spacing w:line="460" w:lineRule="exact"/>
        <w:rPr>
          <w:rFonts w:asciiTheme="minorEastAsia" w:eastAsiaTheme="minorEastAsia" w:hAnsiTheme="minorEastAsia"/>
          <w:kern w:val="0"/>
        </w:rPr>
      </w:pPr>
    </w:p>
    <w:p w:rsidR="000D2F28" w:rsidRPr="00CD4682" w:rsidRDefault="000D2F28" w:rsidP="00DF3744">
      <w:pPr>
        <w:autoSpaceDE w:val="0"/>
        <w:autoSpaceDN w:val="0"/>
        <w:spacing w:line="460" w:lineRule="exact"/>
        <w:rPr>
          <w:rFonts w:asciiTheme="minorEastAsia" w:eastAsiaTheme="minorEastAsia" w:hAnsiTheme="minorEastAsia"/>
          <w:kern w:val="0"/>
        </w:rPr>
      </w:pPr>
    </w:p>
    <w:p w:rsidR="00CD4682" w:rsidRPr="00CD4682" w:rsidRDefault="00CD4682" w:rsidP="00CD4682">
      <w:pPr>
        <w:autoSpaceDE w:val="0"/>
        <w:autoSpaceDN w:val="0"/>
        <w:spacing w:line="460" w:lineRule="exact"/>
        <w:ind w:firstLineChars="100" w:firstLine="240"/>
        <w:rPr>
          <w:rFonts w:asciiTheme="minorEastAsia" w:eastAsiaTheme="minorEastAsia" w:hAnsiTheme="minorEastAsia"/>
          <w:kern w:val="0"/>
        </w:rPr>
      </w:pPr>
      <w:r w:rsidRPr="00CD4682">
        <w:rPr>
          <w:rFonts w:asciiTheme="minorEastAsia" w:eastAsiaTheme="minorEastAsia" w:hAnsiTheme="minorEastAsia" w:hint="eastAsia"/>
          <w:kern w:val="0"/>
        </w:rPr>
        <w:t>Ⅳ　特別会計及び企業会計</w:t>
      </w:r>
    </w:p>
    <w:p w:rsidR="00DA301D" w:rsidRPr="00DA301D" w:rsidRDefault="00DA301D" w:rsidP="00DA301D">
      <w:pPr>
        <w:autoSpaceDE w:val="0"/>
        <w:autoSpaceDN w:val="0"/>
        <w:spacing w:line="460" w:lineRule="exact"/>
        <w:ind w:leftChars="150" w:left="360" w:firstLineChars="100" w:firstLine="240"/>
        <w:rPr>
          <w:rFonts w:asciiTheme="minorEastAsia" w:eastAsiaTheme="minorEastAsia" w:hAnsiTheme="minorEastAsia"/>
          <w:kern w:val="0"/>
        </w:rPr>
      </w:pPr>
      <w:r w:rsidRPr="00DA301D">
        <w:rPr>
          <w:rFonts w:asciiTheme="minorEastAsia" w:eastAsiaTheme="minorEastAsia" w:hAnsiTheme="minorEastAsia" w:hint="eastAsia"/>
          <w:kern w:val="0"/>
        </w:rPr>
        <w:t>設置の趣旨を十分に踏まえつつ、一般会計に準</w:t>
      </w:r>
      <w:r w:rsidR="000152C4">
        <w:rPr>
          <w:rFonts w:asciiTheme="minorEastAsia" w:eastAsiaTheme="minorEastAsia" w:hAnsiTheme="minorEastAsia" w:hint="eastAsia"/>
          <w:kern w:val="0"/>
        </w:rPr>
        <w:t>じ、事業の必要性、緊急性及び効率性等を十分に踏まえた上で、令和５</w:t>
      </w:r>
      <w:r w:rsidRPr="00DA301D">
        <w:rPr>
          <w:rFonts w:asciiTheme="minorEastAsia" w:eastAsiaTheme="minorEastAsia" w:hAnsiTheme="minorEastAsia" w:hint="eastAsia"/>
          <w:kern w:val="0"/>
        </w:rPr>
        <w:t>年度に真に必要な額を要求すること。</w:t>
      </w:r>
    </w:p>
    <w:p w:rsidR="00DA301D" w:rsidRPr="00DA301D" w:rsidRDefault="00DA301D" w:rsidP="00DA301D">
      <w:pPr>
        <w:autoSpaceDE w:val="0"/>
        <w:autoSpaceDN w:val="0"/>
        <w:spacing w:line="460" w:lineRule="exact"/>
        <w:ind w:leftChars="150" w:left="360" w:firstLineChars="100" w:firstLine="240"/>
        <w:rPr>
          <w:rFonts w:asciiTheme="minorEastAsia" w:eastAsiaTheme="minorEastAsia" w:hAnsiTheme="minorEastAsia"/>
          <w:kern w:val="0"/>
        </w:rPr>
      </w:pPr>
      <w:r w:rsidRPr="00DA301D">
        <w:rPr>
          <w:rFonts w:asciiTheme="minorEastAsia" w:eastAsiaTheme="minorEastAsia" w:hAnsiTheme="minorEastAsia" w:hint="eastAsia"/>
          <w:kern w:val="0"/>
        </w:rPr>
        <w:t>特に企業会計については、経済性の発揮を基本に、「経営戦略」を策定するなど経営状況や今後の事業見通し等について十分検討を加え、経営改善に向け、まず徹底した内部努力を行うこと。</w:t>
      </w:r>
    </w:p>
    <w:p w:rsidR="00647E6D" w:rsidRPr="0022761D" w:rsidRDefault="00DA301D" w:rsidP="00DA301D">
      <w:pPr>
        <w:autoSpaceDE w:val="0"/>
        <w:autoSpaceDN w:val="0"/>
        <w:spacing w:line="460" w:lineRule="exact"/>
        <w:ind w:leftChars="150" w:left="360" w:firstLineChars="100" w:firstLine="240"/>
        <w:rPr>
          <w:rFonts w:asciiTheme="minorEastAsia" w:eastAsiaTheme="minorEastAsia" w:hAnsiTheme="minorEastAsia" w:cs="Meiryo UI"/>
        </w:rPr>
      </w:pPr>
      <w:r w:rsidRPr="00DA301D">
        <w:rPr>
          <w:rFonts w:asciiTheme="minorEastAsia" w:eastAsiaTheme="minorEastAsia" w:hAnsiTheme="minorEastAsia" w:hint="eastAsia"/>
          <w:kern w:val="0"/>
        </w:rPr>
        <w:t>また、一般会計からの繰出し等については、一般会計のあるべき経費負担に従い行うこと。</w:t>
      </w:r>
    </w:p>
    <w:sectPr w:rsidR="00647E6D" w:rsidRPr="0022761D" w:rsidSect="00426F7A">
      <w:headerReference w:type="default" r:id="rId7"/>
      <w:footerReference w:type="default" r:id="rId8"/>
      <w:pgSz w:w="11906" w:h="16838" w:code="9"/>
      <w:pgMar w:top="1701" w:right="1418" w:bottom="1701" w:left="1418" w:header="851" w:footer="851"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DF9" w:rsidRDefault="000B5DF9">
      <w:r>
        <w:separator/>
      </w:r>
    </w:p>
  </w:endnote>
  <w:endnote w:type="continuationSeparator" w:id="0">
    <w:p w:rsidR="000B5DF9" w:rsidRDefault="000B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9" w:rsidRDefault="000B5DF9">
    <w:pPr>
      <w:pStyle w:val="a3"/>
      <w:jc w:val="center"/>
    </w:pPr>
    <w:r>
      <w:t xml:space="preserve">- </w:t>
    </w:r>
    <w:r>
      <w:fldChar w:fldCharType="begin"/>
    </w:r>
    <w:r>
      <w:instrText xml:space="preserve"> PAGE </w:instrText>
    </w:r>
    <w:r>
      <w:fldChar w:fldCharType="separate"/>
    </w:r>
    <w:r w:rsidR="00B56EC5">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DF9" w:rsidRDefault="000B5DF9">
      <w:r>
        <w:separator/>
      </w:r>
    </w:p>
  </w:footnote>
  <w:footnote w:type="continuationSeparator" w:id="0">
    <w:p w:rsidR="000B5DF9" w:rsidRDefault="000B5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9" w:rsidRPr="00F26240" w:rsidRDefault="000B5DF9" w:rsidP="00F2624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6674"/>
    <w:multiLevelType w:val="hybridMultilevel"/>
    <w:tmpl w:val="7C400A96"/>
    <w:lvl w:ilvl="0" w:tplc="90045286">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7041A7D"/>
    <w:multiLevelType w:val="hybridMultilevel"/>
    <w:tmpl w:val="CB5AEC2C"/>
    <w:lvl w:ilvl="0" w:tplc="423201A0">
      <w:start w:val="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1F4F5B00"/>
    <w:multiLevelType w:val="hybridMultilevel"/>
    <w:tmpl w:val="6E36A0C6"/>
    <w:lvl w:ilvl="0" w:tplc="74A43E90">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CD228A4"/>
    <w:multiLevelType w:val="hybridMultilevel"/>
    <w:tmpl w:val="7C5C648C"/>
    <w:lvl w:ilvl="0" w:tplc="6C22E93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145236B"/>
    <w:multiLevelType w:val="hybridMultilevel"/>
    <w:tmpl w:val="240E9CF8"/>
    <w:lvl w:ilvl="0" w:tplc="8A1E1CC6">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45202DB5"/>
    <w:multiLevelType w:val="hybridMultilevel"/>
    <w:tmpl w:val="E0BC0B66"/>
    <w:lvl w:ilvl="0" w:tplc="9B408674">
      <w:start w:val="1"/>
      <w:numFmt w:val="decimal"/>
      <w:lvlText w:val="(%1)"/>
      <w:lvlJc w:val="left"/>
      <w:pPr>
        <w:ind w:left="774" w:hanging="360"/>
      </w:pPr>
      <w:rPr>
        <w:rFonts w:asciiTheme="minorEastAsia" w:eastAsiaTheme="minorEastAsia" w:hAnsiTheme="minorEastAsia" w:cs="Meiryo UI"/>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6" w15:restartNumberingAfterBreak="0">
    <w:nsid w:val="49CC5CC7"/>
    <w:multiLevelType w:val="hybridMultilevel"/>
    <w:tmpl w:val="562C265C"/>
    <w:lvl w:ilvl="0" w:tplc="9774D664">
      <w:start w:val="1"/>
      <w:numFmt w:val="decimal"/>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7" w15:restartNumberingAfterBreak="0">
    <w:nsid w:val="59C77DC3"/>
    <w:multiLevelType w:val="hybridMultilevel"/>
    <w:tmpl w:val="CCDC970E"/>
    <w:lvl w:ilvl="0" w:tplc="90045286">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6"/>
  </w:num>
  <w:num w:numId="3">
    <w:abstractNumId w:val="3"/>
  </w:num>
  <w:num w:numId="4">
    <w:abstractNumId w:val="0"/>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4064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29"/>
    <w:rsid w:val="00002F08"/>
    <w:rsid w:val="00011983"/>
    <w:rsid w:val="000152C4"/>
    <w:rsid w:val="000154B1"/>
    <w:rsid w:val="0002303E"/>
    <w:rsid w:val="0003792F"/>
    <w:rsid w:val="00037D4F"/>
    <w:rsid w:val="00044C66"/>
    <w:rsid w:val="00045E4F"/>
    <w:rsid w:val="00052834"/>
    <w:rsid w:val="00052B2F"/>
    <w:rsid w:val="00055061"/>
    <w:rsid w:val="000565B0"/>
    <w:rsid w:val="00056D75"/>
    <w:rsid w:val="00062068"/>
    <w:rsid w:val="0006208F"/>
    <w:rsid w:val="0006725F"/>
    <w:rsid w:val="00074E8C"/>
    <w:rsid w:val="00077ABE"/>
    <w:rsid w:val="00090E7E"/>
    <w:rsid w:val="000966A0"/>
    <w:rsid w:val="000A389E"/>
    <w:rsid w:val="000B0B25"/>
    <w:rsid w:val="000B5DF9"/>
    <w:rsid w:val="000C274B"/>
    <w:rsid w:val="000D2F28"/>
    <w:rsid w:val="000D748A"/>
    <w:rsid w:val="000E1478"/>
    <w:rsid w:val="000E193B"/>
    <w:rsid w:val="000E2AE6"/>
    <w:rsid w:val="000E417C"/>
    <w:rsid w:val="000E64CF"/>
    <w:rsid w:val="000E6647"/>
    <w:rsid w:val="000E702E"/>
    <w:rsid w:val="000F21C9"/>
    <w:rsid w:val="000F3E9F"/>
    <w:rsid w:val="001050ED"/>
    <w:rsid w:val="00107ACB"/>
    <w:rsid w:val="0011335E"/>
    <w:rsid w:val="00116221"/>
    <w:rsid w:val="00122320"/>
    <w:rsid w:val="001272CA"/>
    <w:rsid w:val="00127323"/>
    <w:rsid w:val="00132204"/>
    <w:rsid w:val="00135F68"/>
    <w:rsid w:val="0014038E"/>
    <w:rsid w:val="0014216C"/>
    <w:rsid w:val="00146321"/>
    <w:rsid w:val="00146416"/>
    <w:rsid w:val="00153C1E"/>
    <w:rsid w:val="001547E9"/>
    <w:rsid w:val="00155F99"/>
    <w:rsid w:val="00180205"/>
    <w:rsid w:val="0018109B"/>
    <w:rsid w:val="001815AE"/>
    <w:rsid w:val="00181C33"/>
    <w:rsid w:val="00184930"/>
    <w:rsid w:val="00186EA0"/>
    <w:rsid w:val="00187666"/>
    <w:rsid w:val="001913B5"/>
    <w:rsid w:val="001938FD"/>
    <w:rsid w:val="001A17B0"/>
    <w:rsid w:val="001A35C9"/>
    <w:rsid w:val="001B2B16"/>
    <w:rsid w:val="001D2A6C"/>
    <w:rsid w:val="001D3F4D"/>
    <w:rsid w:val="001D4214"/>
    <w:rsid w:val="001E3B47"/>
    <w:rsid w:val="001F6E1C"/>
    <w:rsid w:val="00200170"/>
    <w:rsid w:val="0020425F"/>
    <w:rsid w:val="00207776"/>
    <w:rsid w:val="0020778B"/>
    <w:rsid w:val="002111A9"/>
    <w:rsid w:val="00215291"/>
    <w:rsid w:val="002162C1"/>
    <w:rsid w:val="00216736"/>
    <w:rsid w:val="00217B1D"/>
    <w:rsid w:val="00221068"/>
    <w:rsid w:val="0022154D"/>
    <w:rsid w:val="002248C6"/>
    <w:rsid w:val="0022761D"/>
    <w:rsid w:val="002311C9"/>
    <w:rsid w:val="00234069"/>
    <w:rsid w:val="00234C23"/>
    <w:rsid w:val="002421F5"/>
    <w:rsid w:val="00250D32"/>
    <w:rsid w:val="002524BC"/>
    <w:rsid w:val="00253028"/>
    <w:rsid w:val="002533EB"/>
    <w:rsid w:val="00253F1E"/>
    <w:rsid w:val="00256F87"/>
    <w:rsid w:val="00261D5E"/>
    <w:rsid w:val="002627DA"/>
    <w:rsid w:val="0026292E"/>
    <w:rsid w:val="00266C53"/>
    <w:rsid w:val="00270F2C"/>
    <w:rsid w:val="002912DF"/>
    <w:rsid w:val="002915A7"/>
    <w:rsid w:val="002920B3"/>
    <w:rsid w:val="002945A0"/>
    <w:rsid w:val="002A1B41"/>
    <w:rsid w:val="002A4E46"/>
    <w:rsid w:val="002A60E0"/>
    <w:rsid w:val="002C1CDC"/>
    <w:rsid w:val="002C5EDE"/>
    <w:rsid w:val="002C60E4"/>
    <w:rsid w:val="002D0929"/>
    <w:rsid w:val="002D0F20"/>
    <w:rsid w:val="002E1835"/>
    <w:rsid w:val="002E6912"/>
    <w:rsid w:val="002E6E0C"/>
    <w:rsid w:val="002F2D43"/>
    <w:rsid w:val="002F5900"/>
    <w:rsid w:val="00303402"/>
    <w:rsid w:val="0032212C"/>
    <w:rsid w:val="00323C6B"/>
    <w:rsid w:val="00330A24"/>
    <w:rsid w:val="0033212A"/>
    <w:rsid w:val="003463DE"/>
    <w:rsid w:val="0035103C"/>
    <w:rsid w:val="0035194D"/>
    <w:rsid w:val="00364808"/>
    <w:rsid w:val="00372B9D"/>
    <w:rsid w:val="00374377"/>
    <w:rsid w:val="00391959"/>
    <w:rsid w:val="003A4310"/>
    <w:rsid w:val="003A54C9"/>
    <w:rsid w:val="003B17A3"/>
    <w:rsid w:val="003B2392"/>
    <w:rsid w:val="003B76E2"/>
    <w:rsid w:val="003B7EC1"/>
    <w:rsid w:val="003C0CF3"/>
    <w:rsid w:val="003C3CBE"/>
    <w:rsid w:val="003C550F"/>
    <w:rsid w:val="003C6CF0"/>
    <w:rsid w:val="003D19C6"/>
    <w:rsid w:val="003D3043"/>
    <w:rsid w:val="003D55AD"/>
    <w:rsid w:val="003D6899"/>
    <w:rsid w:val="003E0009"/>
    <w:rsid w:val="003F0CAA"/>
    <w:rsid w:val="003F4B91"/>
    <w:rsid w:val="003F790F"/>
    <w:rsid w:val="003F79AD"/>
    <w:rsid w:val="003F7C1D"/>
    <w:rsid w:val="004014AA"/>
    <w:rsid w:val="004043A1"/>
    <w:rsid w:val="00407E55"/>
    <w:rsid w:val="00410B5E"/>
    <w:rsid w:val="0041372E"/>
    <w:rsid w:val="00415560"/>
    <w:rsid w:val="00425F1E"/>
    <w:rsid w:val="00426F7A"/>
    <w:rsid w:val="00437850"/>
    <w:rsid w:val="004409A8"/>
    <w:rsid w:val="00441C37"/>
    <w:rsid w:val="00443114"/>
    <w:rsid w:val="00445356"/>
    <w:rsid w:val="00446949"/>
    <w:rsid w:val="00447F93"/>
    <w:rsid w:val="00452095"/>
    <w:rsid w:val="00452F14"/>
    <w:rsid w:val="0045349A"/>
    <w:rsid w:val="004631C6"/>
    <w:rsid w:val="00473011"/>
    <w:rsid w:val="004741F1"/>
    <w:rsid w:val="004744F5"/>
    <w:rsid w:val="004818AD"/>
    <w:rsid w:val="00483384"/>
    <w:rsid w:val="0049198B"/>
    <w:rsid w:val="00494DF1"/>
    <w:rsid w:val="004A4312"/>
    <w:rsid w:val="004A7587"/>
    <w:rsid w:val="004B08BC"/>
    <w:rsid w:val="004B5756"/>
    <w:rsid w:val="004B597E"/>
    <w:rsid w:val="004B6323"/>
    <w:rsid w:val="004D5780"/>
    <w:rsid w:val="004E4888"/>
    <w:rsid w:val="004E6F5C"/>
    <w:rsid w:val="00505127"/>
    <w:rsid w:val="00513C5F"/>
    <w:rsid w:val="00514F8C"/>
    <w:rsid w:val="0051720A"/>
    <w:rsid w:val="0051730F"/>
    <w:rsid w:val="00522157"/>
    <w:rsid w:val="00523278"/>
    <w:rsid w:val="00523EF0"/>
    <w:rsid w:val="0052466C"/>
    <w:rsid w:val="00533C3C"/>
    <w:rsid w:val="00540AC9"/>
    <w:rsid w:val="0054453D"/>
    <w:rsid w:val="00547856"/>
    <w:rsid w:val="00552810"/>
    <w:rsid w:val="00556358"/>
    <w:rsid w:val="00556B78"/>
    <w:rsid w:val="00557FB6"/>
    <w:rsid w:val="00564782"/>
    <w:rsid w:val="005648CC"/>
    <w:rsid w:val="00577E77"/>
    <w:rsid w:val="00584B2A"/>
    <w:rsid w:val="00586D35"/>
    <w:rsid w:val="005900A8"/>
    <w:rsid w:val="00593053"/>
    <w:rsid w:val="0059380C"/>
    <w:rsid w:val="00596940"/>
    <w:rsid w:val="00597B63"/>
    <w:rsid w:val="005A0D06"/>
    <w:rsid w:val="005B2597"/>
    <w:rsid w:val="005B4294"/>
    <w:rsid w:val="005B5C8D"/>
    <w:rsid w:val="005B72EC"/>
    <w:rsid w:val="005C06CD"/>
    <w:rsid w:val="005C5298"/>
    <w:rsid w:val="005C54E5"/>
    <w:rsid w:val="005C5F34"/>
    <w:rsid w:val="005D1B90"/>
    <w:rsid w:val="005D20D2"/>
    <w:rsid w:val="005D3584"/>
    <w:rsid w:val="005D5FCB"/>
    <w:rsid w:val="005D63AB"/>
    <w:rsid w:val="005D7B8B"/>
    <w:rsid w:val="005E5C2F"/>
    <w:rsid w:val="005F3C4C"/>
    <w:rsid w:val="005F3D99"/>
    <w:rsid w:val="005F7E5F"/>
    <w:rsid w:val="00601BEA"/>
    <w:rsid w:val="00603BFD"/>
    <w:rsid w:val="00605179"/>
    <w:rsid w:val="0060790E"/>
    <w:rsid w:val="0062449E"/>
    <w:rsid w:val="006266E8"/>
    <w:rsid w:val="006327D9"/>
    <w:rsid w:val="0064408B"/>
    <w:rsid w:val="00647E6D"/>
    <w:rsid w:val="00653E27"/>
    <w:rsid w:val="0065486D"/>
    <w:rsid w:val="006629C9"/>
    <w:rsid w:val="00675A6C"/>
    <w:rsid w:val="006812FB"/>
    <w:rsid w:val="00683F73"/>
    <w:rsid w:val="00684342"/>
    <w:rsid w:val="006A4691"/>
    <w:rsid w:val="006B4ED7"/>
    <w:rsid w:val="006B5452"/>
    <w:rsid w:val="006C0AA2"/>
    <w:rsid w:val="006C1652"/>
    <w:rsid w:val="006E3C17"/>
    <w:rsid w:val="006E6B23"/>
    <w:rsid w:val="00701855"/>
    <w:rsid w:val="007061DD"/>
    <w:rsid w:val="00706AD3"/>
    <w:rsid w:val="007152AB"/>
    <w:rsid w:val="00723A30"/>
    <w:rsid w:val="007249A1"/>
    <w:rsid w:val="007249F1"/>
    <w:rsid w:val="00726EE2"/>
    <w:rsid w:val="00731F94"/>
    <w:rsid w:val="00732845"/>
    <w:rsid w:val="00733D40"/>
    <w:rsid w:val="007428E2"/>
    <w:rsid w:val="0076031C"/>
    <w:rsid w:val="00761D1C"/>
    <w:rsid w:val="00776957"/>
    <w:rsid w:val="007772BD"/>
    <w:rsid w:val="00780108"/>
    <w:rsid w:val="00780249"/>
    <w:rsid w:val="0078519A"/>
    <w:rsid w:val="00787589"/>
    <w:rsid w:val="007B2CF8"/>
    <w:rsid w:val="007C0242"/>
    <w:rsid w:val="007C73D9"/>
    <w:rsid w:val="007D0165"/>
    <w:rsid w:val="007D0F32"/>
    <w:rsid w:val="007D609A"/>
    <w:rsid w:val="007E0A10"/>
    <w:rsid w:val="007E5209"/>
    <w:rsid w:val="007E6D8F"/>
    <w:rsid w:val="007F27BF"/>
    <w:rsid w:val="008043C9"/>
    <w:rsid w:val="00805959"/>
    <w:rsid w:val="00806C03"/>
    <w:rsid w:val="00806DCA"/>
    <w:rsid w:val="00810CDC"/>
    <w:rsid w:val="00823DB2"/>
    <w:rsid w:val="00825714"/>
    <w:rsid w:val="00826F45"/>
    <w:rsid w:val="00827713"/>
    <w:rsid w:val="00833F75"/>
    <w:rsid w:val="00851AC1"/>
    <w:rsid w:val="008706BE"/>
    <w:rsid w:val="00871CD0"/>
    <w:rsid w:val="00884EED"/>
    <w:rsid w:val="008861D7"/>
    <w:rsid w:val="008923DB"/>
    <w:rsid w:val="008A2FC1"/>
    <w:rsid w:val="008B3992"/>
    <w:rsid w:val="008E319B"/>
    <w:rsid w:val="008F08C5"/>
    <w:rsid w:val="00902C3F"/>
    <w:rsid w:val="00903382"/>
    <w:rsid w:val="00905765"/>
    <w:rsid w:val="00914356"/>
    <w:rsid w:val="009270FB"/>
    <w:rsid w:val="009302BB"/>
    <w:rsid w:val="0093042F"/>
    <w:rsid w:val="00936FF9"/>
    <w:rsid w:val="009417CF"/>
    <w:rsid w:val="009518BD"/>
    <w:rsid w:val="0095396E"/>
    <w:rsid w:val="00953C9C"/>
    <w:rsid w:val="00956454"/>
    <w:rsid w:val="0096232E"/>
    <w:rsid w:val="00963C4A"/>
    <w:rsid w:val="00974515"/>
    <w:rsid w:val="0098410A"/>
    <w:rsid w:val="009973EB"/>
    <w:rsid w:val="009A55F0"/>
    <w:rsid w:val="009B263A"/>
    <w:rsid w:val="009B267F"/>
    <w:rsid w:val="009B4542"/>
    <w:rsid w:val="009B4AB6"/>
    <w:rsid w:val="009B70F9"/>
    <w:rsid w:val="009B7454"/>
    <w:rsid w:val="009C1841"/>
    <w:rsid w:val="009C519F"/>
    <w:rsid w:val="009D4800"/>
    <w:rsid w:val="009E4D27"/>
    <w:rsid w:val="009F4286"/>
    <w:rsid w:val="009F6BE2"/>
    <w:rsid w:val="00A00BF7"/>
    <w:rsid w:val="00A01EDD"/>
    <w:rsid w:val="00A02056"/>
    <w:rsid w:val="00A04CD8"/>
    <w:rsid w:val="00A14BFA"/>
    <w:rsid w:val="00A15192"/>
    <w:rsid w:val="00A16D3D"/>
    <w:rsid w:val="00A21594"/>
    <w:rsid w:val="00A229CC"/>
    <w:rsid w:val="00A22AB9"/>
    <w:rsid w:val="00A37899"/>
    <w:rsid w:val="00A51668"/>
    <w:rsid w:val="00A51C19"/>
    <w:rsid w:val="00A51DCB"/>
    <w:rsid w:val="00A53DA0"/>
    <w:rsid w:val="00A56809"/>
    <w:rsid w:val="00A871B5"/>
    <w:rsid w:val="00AA5E43"/>
    <w:rsid w:val="00AB0A4B"/>
    <w:rsid w:val="00AD54BE"/>
    <w:rsid w:val="00AD7910"/>
    <w:rsid w:val="00AE610B"/>
    <w:rsid w:val="00AF39B8"/>
    <w:rsid w:val="00AF44C4"/>
    <w:rsid w:val="00AF7F01"/>
    <w:rsid w:val="00B02CFD"/>
    <w:rsid w:val="00B11850"/>
    <w:rsid w:val="00B15368"/>
    <w:rsid w:val="00B209FC"/>
    <w:rsid w:val="00B331D3"/>
    <w:rsid w:val="00B4795B"/>
    <w:rsid w:val="00B50420"/>
    <w:rsid w:val="00B51EE8"/>
    <w:rsid w:val="00B56EC5"/>
    <w:rsid w:val="00B6068B"/>
    <w:rsid w:val="00B730F9"/>
    <w:rsid w:val="00B739FE"/>
    <w:rsid w:val="00B81368"/>
    <w:rsid w:val="00B86078"/>
    <w:rsid w:val="00B863E3"/>
    <w:rsid w:val="00B93E1C"/>
    <w:rsid w:val="00BA7D36"/>
    <w:rsid w:val="00BB1F6A"/>
    <w:rsid w:val="00BB68AD"/>
    <w:rsid w:val="00BC0BC5"/>
    <w:rsid w:val="00BC3E7F"/>
    <w:rsid w:val="00BC57F9"/>
    <w:rsid w:val="00BC5B7E"/>
    <w:rsid w:val="00BD09F1"/>
    <w:rsid w:val="00BD68A8"/>
    <w:rsid w:val="00BD6B32"/>
    <w:rsid w:val="00BE1EA4"/>
    <w:rsid w:val="00BE336F"/>
    <w:rsid w:val="00BE4189"/>
    <w:rsid w:val="00BE5179"/>
    <w:rsid w:val="00BE61ED"/>
    <w:rsid w:val="00C02272"/>
    <w:rsid w:val="00C02773"/>
    <w:rsid w:val="00C11467"/>
    <w:rsid w:val="00C11862"/>
    <w:rsid w:val="00C11AF8"/>
    <w:rsid w:val="00C130B5"/>
    <w:rsid w:val="00C151A3"/>
    <w:rsid w:val="00C17D21"/>
    <w:rsid w:val="00C205E5"/>
    <w:rsid w:val="00C23FA1"/>
    <w:rsid w:val="00C30D33"/>
    <w:rsid w:val="00C3135D"/>
    <w:rsid w:val="00C348C5"/>
    <w:rsid w:val="00C42F3B"/>
    <w:rsid w:val="00C436D9"/>
    <w:rsid w:val="00C52640"/>
    <w:rsid w:val="00C53C70"/>
    <w:rsid w:val="00C564AC"/>
    <w:rsid w:val="00C56817"/>
    <w:rsid w:val="00C622BB"/>
    <w:rsid w:val="00C6436B"/>
    <w:rsid w:val="00C674E3"/>
    <w:rsid w:val="00C7483C"/>
    <w:rsid w:val="00C923B7"/>
    <w:rsid w:val="00C939DE"/>
    <w:rsid w:val="00C95037"/>
    <w:rsid w:val="00CA2518"/>
    <w:rsid w:val="00CA3C73"/>
    <w:rsid w:val="00CA73F1"/>
    <w:rsid w:val="00CC0DE7"/>
    <w:rsid w:val="00CC0F96"/>
    <w:rsid w:val="00CD196D"/>
    <w:rsid w:val="00CD2F10"/>
    <w:rsid w:val="00CD4682"/>
    <w:rsid w:val="00CD5304"/>
    <w:rsid w:val="00CE668E"/>
    <w:rsid w:val="00CF02C6"/>
    <w:rsid w:val="00CF2167"/>
    <w:rsid w:val="00CF4C7B"/>
    <w:rsid w:val="00D01E6B"/>
    <w:rsid w:val="00D0579A"/>
    <w:rsid w:val="00D106B5"/>
    <w:rsid w:val="00D11911"/>
    <w:rsid w:val="00D13C1E"/>
    <w:rsid w:val="00D169C9"/>
    <w:rsid w:val="00D17ADB"/>
    <w:rsid w:val="00D206C6"/>
    <w:rsid w:val="00D2182C"/>
    <w:rsid w:val="00D27697"/>
    <w:rsid w:val="00D43DA7"/>
    <w:rsid w:val="00D458E2"/>
    <w:rsid w:val="00D46C61"/>
    <w:rsid w:val="00D50BF3"/>
    <w:rsid w:val="00D51797"/>
    <w:rsid w:val="00D51CAD"/>
    <w:rsid w:val="00D5500A"/>
    <w:rsid w:val="00D659A9"/>
    <w:rsid w:val="00D6726E"/>
    <w:rsid w:val="00D72F70"/>
    <w:rsid w:val="00D75109"/>
    <w:rsid w:val="00D86C8D"/>
    <w:rsid w:val="00D94254"/>
    <w:rsid w:val="00DA301D"/>
    <w:rsid w:val="00DA4120"/>
    <w:rsid w:val="00DC0BCF"/>
    <w:rsid w:val="00DC41BE"/>
    <w:rsid w:val="00DC4335"/>
    <w:rsid w:val="00DD0606"/>
    <w:rsid w:val="00DD7F60"/>
    <w:rsid w:val="00DD7F68"/>
    <w:rsid w:val="00DE2205"/>
    <w:rsid w:val="00DE3F83"/>
    <w:rsid w:val="00DF287B"/>
    <w:rsid w:val="00DF2D9F"/>
    <w:rsid w:val="00DF3744"/>
    <w:rsid w:val="00DF4963"/>
    <w:rsid w:val="00E03D69"/>
    <w:rsid w:val="00E07D58"/>
    <w:rsid w:val="00E1426E"/>
    <w:rsid w:val="00E17B6B"/>
    <w:rsid w:val="00E17C47"/>
    <w:rsid w:val="00E17D19"/>
    <w:rsid w:val="00E25A0F"/>
    <w:rsid w:val="00E32B19"/>
    <w:rsid w:val="00E42A0C"/>
    <w:rsid w:val="00E467C6"/>
    <w:rsid w:val="00E6110C"/>
    <w:rsid w:val="00E64B50"/>
    <w:rsid w:val="00E64D90"/>
    <w:rsid w:val="00E64DCE"/>
    <w:rsid w:val="00E73152"/>
    <w:rsid w:val="00E76669"/>
    <w:rsid w:val="00E81411"/>
    <w:rsid w:val="00E82A40"/>
    <w:rsid w:val="00E830A9"/>
    <w:rsid w:val="00E833C7"/>
    <w:rsid w:val="00E84391"/>
    <w:rsid w:val="00E84A9E"/>
    <w:rsid w:val="00E863CC"/>
    <w:rsid w:val="00E86A1A"/>
    <w:rsid w:val="00E86C5F"/>
    <w:rsid w:val="00E87B9E"/>
    <w:rsid w:val="00EA02B4"/>
    <w:rsid w:val="00EA60E1"/>
    <w:rsid w:val="00EA617F"/>
    <w:rsid w:val="00EB3D5A"/>
    <w:rsid w:val="00EC05AD"/>
    <w:rsid w:val="00ED241C"/>
    <w:rsid w:val="00EE5740"/>
    <w:rsid w:val="00EF36F5"/>
    <w:rsid w:val="00F01873"/>
    <w:rsid w:val="00F03273"/>
    <w:rsid w:val="00F129F3"/>
    <w:rsid w:val="00F158C7"/>
    <w:rsid w:val="00F26240"/>
    <w:rsid w:val="00F30F5F"/>
    <w:rsid w:val="00F35ECA"/>
    <w:rsid w:val="00F35F3C"/>
    <w:rsid w:val="00F41E76"/>
    <w:rsid w:val="00F460C2"/>
    <w:rsid w:val="00F474F1"/>
    <w:rsid w:val="00F64953"/>
    <w:rsid w:val="00F64F61"/>
    <w:rsid w:val="00F75346"/>
    <w:rsid w:val="00F82A0E"/>
    <w:rsid w:val="00FA2110"/>
    <w:rsid w:val="00FA2149"/>
    <w:rsid w:val="00FA2DFD"/>
    <w:rsid w:val="00FA3530"/>
    <w:rsid w:val="00FA364D"/>
    <w:rsid w:val="00FB09E4"/>
    <w:rsid w:val="00FB4E95"/>
    <w:rsid w:val="00FB66CD"/>
    <w:rsid w:val="00FC29F5"/>
    <w:rsid w:val="00FC3B53"/>
    <w:rsid w:val="00FD5FC7"/>
    <w:rsid w:val="00FE1A89"/>
    <w:rsid w:val="00FE4153"/>
    <w:rsid w:val="00FF6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F7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D0929"/>
    <w:pPr>
      <w:ind w:left="720"/>
    </w:pPr>
  </w:style>
  <w:style w:type="paragraph" w:styleId="a3">
    <w:name w:val="footer"/>
    <w:basedOn w:val="a"/>
    <w:rsid w:val="002D0929"/>
    <w:pPr>
      <w:tabs>
        <w:tab w:val="center" w:pos="4252"/>
        <w:tab w:val="right" w:pos="8504"/>
      </w:tabs>
      <w:snapToGrid w:val="0"/>
    </w:pPr>
  </w:style>
  <w:style w:type="paragraph" w:styleId="a4">
    <w:name w:val="header"/>
    <w:basedOn w:val="a"/>
    <w:rsid w:val="00F26240"/>
    <w:pPr>
      <w:tabs>
        <w:tab w:val="center" w:pos="4252"/>
        <w:tab w:val="right" w:pos="8504"/>
      </w:tabs>
      <w:snapToGrid w:val="0"/>
    </w:pPr>
  </w:style>
  <w:style w:type="paragraph" w:styleId="a5">
    <w:name w:val="Balloon Text"/>
    <w:basedOn w:val="a"/>
    <w:semiHidden/>
    <w:rsid w:val="0022154D"/>
    <w:rPr>
      <w:rFonts w:ascii="Arial" w:eastAsia="ＭＳ ゴシック" w:hAnsi="Arial"/>
      <w:sz w:val="18"/>
      <w:szCs w:val="18"/>
    </w:rPr>
  </w:style>
  <w:style w:type="table" w:styleId="a6">
    <w:name w:val="Table Grid"/>
    <w:basedOn w:val="a1"/>
    <w:rsid w:val="00B86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547856"/>
    <w:pPr>
      <w:jc w:val="center"/>
    </w:pPr>
  </w:style>
  <w:style w:type="paragraph" w:styleId="a8">
    <w:name w:val="Closing"/>
    <w:basedOn w:val="a"/>
    <w:rsid w:val="00547856"/>
    <w:pPr>
      <w:jc w:val="right"/>
    </w:pPr>
  </w:style>
  <w:style w:type="paragraph" w:styleId="a9">
    <w:name w:val="List Paragraph"/>
    <w:basedOn w:val="a"/>
    <w:uiPriority w:val="34"/>
    <w:qFormat/>
    <w:rsid w:val="004378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586</Words>
  <Characters>3343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2022-11-10T03:13:00Z</dcterms:created>
  <dcterms:modified xsi:type="dcterms:W3CDTF">2022-11-10T06:25:00Z</dcterms:modified>
</cp:coreProperties>
</file>