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1781" w14:textId="64397619" w:rsidR="00671230" w:rsidRPr="000F6258" w:rsidRDefault="000F6258">
      <w:pPr>
        <w:spacing w:line="360" w:lineRule="exact"/>
        <w:jc w:val="center"/>
        <w:rPr>
          <w:sz w:val="18"/>
          <w:szCs w:val="14"/>
        </w:rPr>
      </w:pPr>
      <w:r>
        <w:rPr>
          <w:rFonts w:hint="eastAsia"/>
          <w:noProof/>
          <w:sz w:val="28"/>
          <w:lang w:val="ja-JP"/>
        </w:rPr>
        <mc:AlternateContent>
          <mc:Choice Requires="wps">
            <w:drawing>
              <wp:anchor distT="0" distB="0" distL="114300" distR="114300" simplePos="0" relativeHeight="251659264" behindDoc="0" locked="0" layoutInCell="1" hidden="0" allowOverlap="1" wp14:anchorId="741B523B" wp14:editId="572E8EAE">
                <wp:simplePos x="0" y="0"/>
                <wp:positionH relativeFrom="column">
                  <wp:posOffset>8185150</wp:posOffset>
                </wp:positionH>
                <wp:positionV relativeFrom="paragraph">
                  <wp:posOffset>-546100</wp:posOffset>
                </wp:positionV>
                <wp:extent cx="1225550" cy="425450"/>
                <wp:effectExtent l="0" t="0" r="0" b="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5550" cy="425450"/>
                        </a:xfrm>
                        <a:prstGeom prst="rect">
                          <a:avLst/>
                        </a:prstGeom>
                        <a:solidFill>
                          <a:schemeClr val="lt1"/>
                        </a:solidFill>
                        <a:ln w="6350">
                          <a:noFill/>
                        </a:ln>
                      </wps:spPr>
                      <wps:txbx>
                        <w:txbxContent>
                          <w:p w14:paraId="30248825" w14:textId="117CC12C" w:rsidR="00671230" w:rsidRDefault="00671230"/>
                        </w:txbxContent>
                      </wps:txbx>
                      <wps:bodyPr rot="0" vert="horz" wrap="square" lIns="91440" tIns="45720" rIns="91440" bIns="45720" anchor="t">
                        <a:noAutofit/>
                      </wps:bodyPr>
                    </wps:wsp>
                  </a:graphicData>
                </a:graphic>
              </wp:anchor>
            </w:drawing>
          </mc:Choice>
          <mc:Fallback>
            <w:pict>
              <v:rect w14:anchorId="741B523B" id="shape1025" o:spid="_x0000_s1026" style="position:absolute;left:0;text-align:left;margin-left:644.5pt;margin-top:-43pt;width:96.5pt;height: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" fillcolor="white [3201]" stroked="f" strokeweight=".5pt">
                <v:textbox>
                  <w:txbxContent>
                    <w:p w14:paraId="30248825" w14:textId="117CC12C" w:rsidR="00671230" w:rsidRDefault="00671230"/>
                  </w:txbxContent>
                </v:textbox>
              </v:rect>
            </w:pict>
          </mc:Fallback>
        </mc:AlternateContent>
      </w:r>
      <w:r>
        <w:rPr>
          <w:rFonts w:hint="eastAsia"/>
          <w:sz w:val="28"/>
        </w:rPr>
        <w:t>令和７年度モニタリング評価実施による改善のための対応方針</w:t>
      </w:r>
    </w:p>
    <w:p w14:paraId="0A138360" w14:textId="29A3B059" w:rsidR="000F6258" w:rsidRDefault="000F6258" w:rsidP="000F6258">
      <w:pPr>
        <w:spacing w:line="360" w:lineRule="exact"/>
        <w:jc w:val="right"/>
        <w:rPr>
          <w:sz w:val="24"/>
          <w:szCs w:val="24"/>
        </w:rPr>
      </w:pPr>
      <w:r>
        <w:rPr>
          <w:rFonts w:hint="eastAsia"/>
          <w:sz w:val="24"/>
          <w:szCs w:val="24"/>
        </w:rPr>
        <w:t xml:space="preserve">施設名：花の文化園　　</w:t>
      </w:r>
    </w:p>
    <w:tbl>
      <w:tblPr>
        <w:tblStyle w:val="a3"/>
        <w:tblW w:w="0" w:type="auto"/>
        <w:tblLook w:val="04A0" w:firstRow="1" w:lastRow="0" w:firstColumn="1" w:lastColumn="0" w:noHBand="0" w:noVBand="1"/>
      </w:tblPr>
      <w:tblGrid>
        <w:gridCol w:w="1696"/>
        <w:gridCol w:w="1985"/>
        <w:gridCol w:w="3544"/>
        <w:gridCol w:w="3402"/>
        <w:gridCol w:w="4041"/>
      </w:tblGrid>
      <w:tr w:rsidR="00671230" w:rsidRPr="000F6258" w14:paraId="39035EF8" w14:textId="77777777" w:rsidTr="000F6258">
        <w:trPr>
          <w:trHeight w:val="360"/>
        </w:trPr>
        <w:tc>
          <w:tcPr>
            <w:tcW w:w="1696" w:type="dxa"/>
            <w:vMerge w:val="restart"/>
            <w:shd w:val="clear" w:color="auto" w:fill="auto"/>
            <w:vAlign w:val="center"/>
          </w:tcPr>
          <w:p w14:paraId="678931CC" w14:textId="77777777" w:rsidR="00671230" w:rsidRPr="000F6258" w:rsidRDefault="000F6258">
            <w:pPr>
              <w:spacing w:line="360" w:lineRule="exact"/>
              <w:jc w:val="center"/>
              <w:rPr>
                <w:sz w:val="24"/>
                <w:szCs w:val="24"/>
              </w:rPr>
            </w:pPr>
            <w:r w:rsidRPr="000F6258">
              <w:rPr>
                <w:rFonts w:hint="eastAsia"/>
                <w:sz w:val="24"/>
                <w:szCs w:val="24"/>
              </w:rPr>
              <w:t>評価項目</w:t>
            </w:r>
          </w:p>
        </w:tc>
        <w:tc>
          <w:tcPr>
            <w:tcW w:w="1985" w:type="dxa"/>
            <w:vMerge w:val="restart"/>
            <w:shd w:val="clear" w:color="auto" w:fill="auto"/>
            <w:vAlign w:val="center"/>
          </w:tcPr>
          <w:p w14:paraId="1548599F" w14:textId="77777777" w:rsidR="00671230" w:rsidRPr="000F6258" w:rsidRDefault="000F6258">
            <w:pPr>
              <w:spacing w:line="360" w:lineRule="exact"/>
              <w:jc w:val="center"/>
              <w:rPr>
                <w:sz w:val="24"/>
                <w:szCs w:val="24"/>
              </w:rPr>
            </w:pPr>
            <w:r w:rsidRPr="000F6258">
              <w:rPr>
                <w:rFonts w:hint="eastAsia"/>
                <w:sz w:val="24"/>
                <w:szCs w:val="24"/>
              </w:rPr>
              <w:t>評価基準</w:t>
            </w:r>
          </w:p>
        </w:tc>
        <w:tc>
          <w:tcPr>
            <w:tcW w:w="3544" w:type="dxa"/>
            <w:vMerge w:val="restart"/>
            <w:tcBorders>
              <w:right w:val="double" w:sz="4" w:space="0" w:color="auto"/>
            </w:tcBorders>
            <w:shd w:val="clear" w:color="auto" w:fill="auto"/>
            <w:vAlign w:val="center"/>
          </w:tcPr>
          <w:p w14:paraId="13A2DB91" w14:textId="77777777" w:rsidR="00671230" w:rsidRPr="000F6258" w:rsidRDefault="000F6258">
            <w:pPr>
              <w:spacing w:line="360" w:lineRule="exact"/>
              <w:jc w:val="center"/>
              <w:rPr>
                <w:sz w:val="24"/>
                <w:szCs w:val="24"/>
              </w:rPr>
            </w:pPr>
            <w:r w:rsidRPr="000F6258">
              <w:rPr>
                <w:rFonts w:hint="eastAsia"/>
                <w:sz w:val="24"/>
                <w:szCs w:val="24"/>
              </w:rPr>
              <w:t>令和７年度</w:t>
            </w:r>
          </w:p>
          <w:p w14:paraId="69CE02FE" w14:textId="77777777" w:rsidR="00671230" w:rsidRPr="000F6258" w:rsidRDefault="000F6258">
            <w:pPr>
              <w:spacing w:line="360" w:lineRule="exact"/>
              <w:jc w:val="center"/>
              <w:rPr>
                <w:sz w:val="24"/>
                <w:szCs w:val="24"/>
              </w:rPr>
            </w:pPr>
            <w:r w:rsidRPr="000F6258">
              <w:rPr>
                <w:rFonts w:hint="eastAsia"/>
                <w:sz w:val="24"/>
                <w:szCs w:val="24"/>
              </w:rPr>
              <w:t>評価委員会の指摘・提言等</w:t>
            </w:r>
          </w:p>
        </w:tc>
        <w:tc>
          <w:tcPr>
            <w:tcW w:w="7443" w:type="dxa"/>
            <w:gridSpan w:val="2"/>
            <w:tcBorders>
              <w:left w:val="double" w:sz="4" w:space="0" w:color="auto"/>
            </w:tcBorders>
            <w:shd w:val="clear" w:color="auto" w:fill="auto"/>
            <w:vAlign w:val="center"/>
          </w:tcPr>
          <w:p w14:paraId="1F55C8C1" w14:textId="77777777" w:rsidR="00671230" w:rsidRPr="000F6258" w:rsidRDefault="000F6258">
            <w:pPr>
              <w:spacing w:line="360" w:lineRule="exact"/>
              <w:jc w:val="center"/>
              <w:rPr>
                <w:sz w:val="24"/>
                <w:szCs w:val="24"/>
              </w:rPr>
            </w:pPr>
            <w:r w:rsidRPr="000F6258">
              <w:rPr>
                <w:rFonts w:hint="eastAsia"/>
                <w:sz w:val="24"/>
                <w:szCs w:val="24"/>
              </w:rPr>
              <w:t>令和８年度以降</w:t>
            </w:r>
          </w:p>
        </w:tc>
      </w:tr>
      <w:tr w:rsidR="00671230" w:rsidRPr="000F6258" w14:paraId="6E0CE654" w14:textId="77777777" w:rsidTr="000F6258">
        <w:trPr>
          <w:trHeight w:val="360"/>
        </w:trPr>
        <w:tc>
          <w:tcPr>
            <w:tcW w:w="1696" w:type="dxa"/>
            <w:vMerge/>
            <w:shd w:val="clear" w:color="auto" w:fill="auto"/>
            <w:vAlign w:val="center"/>
          </w:tcPr>
          <w:p w14:paraId="515F152D" w14:textId="77777777" w:rsidR="00671230" w:rsidRPr="000F6258" w:rsidRDefault="00671230">
            <w:pPr>
              <w:spacing w:line="360" w:lineRule="exact"/>
              <w:jc w:val="center"/>
              <w:rPr>
                <w:sz w:val="24"/>
                <w:szCs w:val="24"/>
              </w:rPr>
            </w:pPr>
          </w:p>
        </w:tc>
        <w:tc>
          <w:tcPr>
            <w:tcW w:w="1985" w:type="dxa"/>
            <w:vMerge/>
            <w:shd w:val="clear" w:color="auto" w:fill="auto"/>
            <w:vAlign w:val="center"/>
          </w:tcPr>
          <w:p w14:paraId="47BC4B52" w14:textId="77777777" w:rsidR="00671230" w:rsidRPr="000F6258" w:rsidRDefault="00671230">
            <w:pPr>
              <w:spacing w:line="360" w:lineRule="exact"/>
              <w:jc w:val="center"/>
              <w:rPr>
                <w:sz w:val="24"/>
                <w:szCs w:val="24"/>
              </w:rPr>
            </w:pPr>
          </w:p>
        </w:tc>
        <w:tc>
          <w:tcPr>
            <w:tcW w:w="3544" w:type="dxa"/>
            <w:vMerge/>
            <w:tcBorders>
              <w:right w:val="double" w:sz="4" w:space="0" w:color="auto"/>
            </w:tcBorders>
            <w:shd w:val="clear" w:color="auto" w:fill="auto"/>
            <w:vAlign w:val="center"/>
          </w:tcPr>
          <w:p w14:paraId="1DA258D1" w14:textId="77777777" w:rsidR="00671230" w:rsidRPr="000F6258" w:rsidRDefault="00671230">
            <w:pPr>
              <w:spacing w:line="360" w:lineRule="exact"/>
              <w:jc w:val="center"/>
              <w:rPr>
                <w:sz w:val="24"/>
                <w:szCs w:val="24"/>
              </w:rPr>
            </w:pPr>
          </w:p>
        </w:tc>
        <w:tc>
          <w:tcPr>
            <w:tcW w:w="3402" w:type="dxa"/>
            <w:tcBorders>
              <w:left w:val="double" w:sz="4" w:space="0" w:color="auto"/>
              <w:bottom w:val="single" w:sz="4" w:space="0" w:color="auto"/>
            </w:tcBorders>
            <w:shd w:val="clear" w:color="auto" w:fill="auto"/>
            <w:vAlign w:val="center"/>
          </w:tcPr>
          <w:p w14:paraId="7835FD19" w14:textId="77777777" w:rsidR="00671230" w:rsidRPr="000F6258" w:rsidRDefault="000F6258">
            <w:pPr>
              <w:spacing w:line="360" w:lineRule="exact"/>
              <w:jc w:val="center"/>
              <w:rPr>
                <w:sz w:val="24"/>
                <w:szCs w:val="24"/>
              </w:rPr>
            </w:pPr>
            <w:r w:rsidRPr="000F6258">
              <w:rPr>
                <w:rFonts w:hint="eastAsia"/>
                <w:sz w:val="24"/>
                <w:szCs w:val="24"/>
              </w:rPr>
              <w:t>改善のための対応方針</w:t>
            </w:r>
          </w:p>
        </w:tc>
        <w:tc>
          <w:tcPr>
            <w:tcW w:w="4041" w:type="dxa"/>
            <w:tcBorders>
              <w:bottom w:val="single" w:sz="4" w:space="0" w:color="auto"/>
            </w:tcBorders>
            <w:shd w:val="clear" w:color="auto" w:fill="auto"/>
            <w:vAlign w:val="center"/>
          </w:tcPr>
          <w:p w14:paraId="4A3BAA9B" w14:textId="77777777" w:rsidR="00671230" w:rsidRPr="000F6258" w:rsidRDefault="000F6258">
            <w:pPr>
              <w:spacing w:line="360" w:lineRule="exact"/>
              <w:jc w:val="center"/>
              <w:rPr>
                <w:sz w:val="24"/>
                <w:szCs w:val="24"/>
              </w:rPr>
            </w:pPr>
            <w:r w:rsidRPr="000F6258">
              <w:rPr>
                <w:rFonts w:hint="eastAsia"/>
                <w:sz w:val="24"/>
                <w:szCs w:val="24"/>
              </w:rPr>
              <w:t>事業計画等への反映</w:t>
            </w:r>
          </w:p>
        </w:tc>
      </w:tr>
      <w:tr w:rsidR="00671230" w:rsidRPr="000F6258" w14:paraId="13E6D004" w14:textId="77777777" w:rsidTr="000F6258">
        <w:trPr>
          <w:trHeight w:val="1080"/>
        </w:trPr>
        <w:tc>
          <w:tcPr>
            <w:tcW w:w="1696" w:type="dxa"/>
            <w:vMerge w:val="restart"/>
            <w:shd w:val="clear" w:color="auto" w:fill="auto"/>
          </w:tcPr>
          <w:p w14:paraId="7FED258A" w14:textId="77777777" w:rsidR="00671230" w:rsidRPr="000F6258" w:rsidRDefault="000F6258">
            <w:pPr>
              <w:overflowPunct w:val="0"/>
              <w:autoSpaceDE w:val="0"/>
              <w:autoSpaceDN w:val="0"/>
              <w:spacing w:line="360" w:lineRule="exact"/>
              <w:rPr>
                <w:sz w:val="24"/>
                <w:szCs w:val="24"/>
              </w:rPr>
            </w:pPr>
            <w:r w:rsidRPr="000F6258">
              <w:rPr>
                <w:rFonts w:hint="eastAsia"/>
                <w:sz w:val="24"/>
                <w:szCs w:val="24"/>
              </w:rPr>
              <w:t>Ⅰ－２</w:t>
            </w:r>
          </w:p>
          <w:p w14:paraId="47C6173E" w14:textId="77777777" w:rsidR="00671230" w:rsidRPr="000F6258" w:rsidRDefault="000F6258">
            <w:pPr>
              <w:overflowPunct w:val="0"/>
              <w:autoSpaceDE w:val="0"/>
              <w:autoSpaceDN w:val="0"/>
              <w:spacing w:line="360" w:lineRule="exact"/>
              <w:rPr>
                <w:sz w:val="24"/>
                <w:szCs w:val="24"/>
              </w:rPr>
            </w:pPr>
            <w:r w:rsidRPr="000F6258">
              <w:rPr>
                <w:rFonts w:hint="eastAsia"/>
                <w:sz w:val="24"/>
                <w:szCs w:val="24"/>
              </w:rPr>
              <w:t>入園者の増加を図るための、利用者サービスや利便性向上</w:t>
            </w:r>
          </w:p>
        </w:tc>
        <w:tc>
          <w:tcPr>
            <w:tcW w:w="1985" w:type="dxa"/>
            <w:vMerge w:val="restart"/>
            <w:shd w:val="clear" w:color="auto" w:fill="auto"/>
          </w:tcPr>
          <w:p w14:paraId="157685F6" w14:textId="77777777" w:rsidR="00671230" w:rsidRPr="000F6258" w:rsidRDefault="000F6258">
            <w:pPr>
              <w:overflowPunct w:val="0"/>
              <w:spacing w:line="360" w:lineRule="exact"/>
              <w:ind w:left="480" w:hangingChars="200" w:hanging="480"/>
              <w:rPr>
                <w:sz w:val="24"/>
                <w:szCs w:val="24"/>
              </w:rPr>
            </w:pPr>
            <w:r w:rsidRPr="000F6258">
              <w:rPr>
                <w:rFonts w:hint="eastAsia"/>
                <w:sz w:val="24"/>
                <w:szCs w:val="24"/>
              </w:rPr>
              <w:t>（２）</w:t>
            </w:r>
          </w:p>
          <w:p w14:paraId="7EFDD913" w14:textId="77777777" w:rsidR="00671230" w:rsidRPr="000F6258" w:rsidRDefault="000F6258">
            <w:pPr>
              <w:overflowPunct w:val="0"/>
              <w:spacing w:line="360" w:lineRule="exact"/>
              <w:jc w:val="left"/>
              <w:rPr>
                <w:sz w:val="24"/>
                <w:szCs w:val="24"/>
              </w:rPr>
            </w:pPr>
            <w:r w:rsidRPr="000F6258">
              <w:rPr>
                <w:rFonts w:hint="eastAsia"/>
                <w:sz w:val="24"/>
                <w:szCs w:val="24"/>
              </w:rPr>
              <w:t>利用者満足度調査等</w:t>
            </w:r>
          </w:p>
        </w:tc>
        <w:tc>
          <w:tcPr>
            <w:tcW w:w="3544" w:type="dxa"/>
            <w:vMerge w:val="restart"/>
            <w:tcBorders>
              <w:right w:val="double" w:sz="4" w:space="0" w:color="auto"/>
            </w:tcBorders>
            <w:shd w:val="clear" w:color="auto" w:fill="auto"/>
          </w:tcPr>
          <w:p w14:paraId="6B7D9C45" w14:textId="2238AA27" w:rsidR="00671230" w:rsidRPr="000F6258" w:rsidRDefault="000F6258">
            <w:pPr>
              <w:overflowPunct w:val="0"/>
              <w:spacing w:line="360" w:lineRule="exact"/>
              <w:ind w:left="120" w:hangingChars="50" w:hanging="120"/>
              <w:rPr>
                <w:sz w:val="24"/>
                <w:szCs w:val="24"/>
              </w:rPr>
            </w:pPr>
            <w:r w:rsidRPr="000F6258">
              <w:rPr>
                <w:rFonts w:hint="eastAsia"/>
                <w:sz w:val="24"/>
                <w:szCs w:val="24"/>
              </w:rPr>
              <w:t>・利用者満足度調査の結果が良好であることや、様々なイベントの開催など、満足度向上に向けた取組みは一定評価できる。今後は幅広い世代から定期的にアンケートを取得し、入園者のニーズを踏まえたイベント等の取組み充実に努められたい。</w:t>
            </w:r>
          </w:p>
        </w:tc>
        <w:tc>
          <w:tcPr>
            <w:tcW w:w="3402" w:type="dxa"/>
            <w:tcBorders>
              <w:left w:val="double" w:sz="4" w:space="0" w:color="auto"/>
              <w:bottom w:val="nil"/>
            </w:tcBorders>
            <w:shd w:val="clear" w:color="auto" w:fill="auto"/>
          </w:tcPr>
          <w:p w14:paraId="6CBD9D0A" w14:textId="3CE234D6" w:rsidR="00671230" w:rsidRPr="000F6258" w:rsidRDefault="000F6258">
            <w:pPr>
              <w:overflowPunct w:val="0"/>
              <w:spacing w:line="360" w:lineRule="exact"/>
              <w:ind w:left="120" w:hangingChars="50" w:hanging="120"/>
              <w:rPr>
                <w:sz w:val="24"/>
                <w:szCs w:val="24"/>
              </w:rPr>
            </w:pPr>
            <w:r w:rsidRPr="000F6258">
              <w:rPr>
                <w:rFonts w:hint="eastAsia"/>
                <w:sz w:val="24"/>
                <w:szCs w:val="24"/>
              </w:rPr>
              <w:t>・回答割合が少ない若年層のニーズを把握できるよう工夫する。</w:t>
            </w:r>
          </w:p>
        </w:tc>
        <w:tc>
          <w:tcPr>
            <w:tcW w:w="4041" w:type="dxa"/>
            <w:tcBorders>
              <w:bottom w:val="nil"/>
            </w:tcBorders>
            <w:shd w:val="clear" w:color="auto" w:fill="auto"/>
          </w:tcPr>
          <w:p w14:paraId="413E73A1" w14:textId="4D11CB16" w:rsidR="00671230" w:rsidRPr="000F6258" w:rsidRDefault="000F6258">
            <w:pPr>
              <w:overflowPunct w:val="0"/>
              <w:spacing w:line="360" w:lineRule="exact"/>
              <w:ind w:left="120" w:hangingChars="50" w:hanging="120"/>
              <w:rPr>
                <w:sz w:val="24"/>
                <w:szCs w:val="24"/>
              </w:rPr>
            </w:pPr>
            <w:r w:rsidRPr="000F6258">
              <w:rPr>
                <w:rFonts w:hint="eastAsia"/>
                <w:sz w:val="24"/>
                <w:szCs w:val="24"/>
              </w:rPr>
              <w:t>・若年層に対するアンケート方法を検討、実施する。</w:t>
            </w:r>
          </w:p>
        </w:tc>
      </w:tr>
      <w:tr w:rsidR="00671230" w:rsidRPr="000F6258" w14:paraId="36F747DF" w14:textId="77777777" w:rsidTr="000F6258">
        <w:trPr>
          <w:trHeight w:val="1080"/>
        </w:trPr>
        <w:tc>
          <w:tcPr>
            <w:tcW w:w="1696" w:type="dxa"/>
            <w:vMerge/>
            <w:shd w:val="clear" w:color="auto" w:fill="auto"/>
          </w:tcPr>
          <w:p w14:paraId="18C6EBD8" w14:textId="77777777" w:rsidR="00671230" w:rsidRPr="000F6258" w:rsidRDefault="00671230">
            <w:pPr>
              <w:overflowPunct w:val="0"/>
              <w:autoSpaceDE w:val="0"/>
              <w:autoSpaceDN w:val="0"/>
              <w:spacing w:line="360" w:lineRule="exact"/>
              <w:rPr>
                <w:sz w:val="24"/>
                <w:szCs w:val="24"/>
              </w:rPr>
            </w:pPr>
          </w:p>
        </w:tc>
        <w:tc>
          <w:tcPr>
            <w:tcW w:w="1985" w:type="dxa"/>
            <w:vMerge/>
            <w:shd w:val="clear" w:color="auto" w:fill="auto"/>
          </w:tcPr>
          <w:p w14:paraId="22526E66" w14:textId="77777777" w:rsidR="00671230" w:rsidRPr="000F6258" w:rsidRDefault="00671230">
            <w:pPr>
              <w:overflowPunct w:val="0"/>
              <w:spacing w:line="360" w:lineRule="exact"/>
              <w:ind w:left="480" w:hangingChars="200" w:hanging="480"/>
              <w:rPr>
                <w:sz w:val="24"/>
                <w:szCs w:val="24"/>
              </w:rPr>
            </w:pPr>
          </w:p>
        </w:tc>
        <w:tc>
          <w:tcPr>
            <w:tcW w:w="3544" w:type="dxa"/>
            <w:vMerge/>
            <w:tcBorders>
              <w:right w:val="double" w:sz="4" w:space="0" w:color="auto"/>
            </w:tcBorders>
            <w:shd w:val="clear" w:color="auto" w:fill="auto"/>
          </w:tcPr>
          <w:p w14:paraId="4F6209FB" w14:textId="77777777" w:rsidR="00671230" w:rsidRPr="000F6258" w:rsidRDefault="00671230">
            <w:pPr>
              <w:overflowPunct w:val="0"/>
              <w:spacing w:line="360" w:lineRule="exact"/>
              <w:ind w:left="120" w:hangingChars="50" w:hanging="120"/>
              <w:rPr>
                <w:sz w:val="24"/>
                <w:szCs w:val="24"/>
              </w:rPr>
            </w:pPr>
          </w:p>
        </w:tc>
        <w:tc>
          <w:tcPr>
            <w:tcW w:w="3402" w:type="dxa"/>
            <w:tcBorders>
              <w:top w:val="nil"/>
              <w:left w:val="double" w:sz="4" w:space="0" w:color="auto"/>
              <w:bottom w:val="single" w:sz="4" w:space="0" w:color="auto"/>
            </w:tcBorders>
            <w:shd w:val="clear" w:color="auto" w:fill="auto"/>
          </w:tcPr>
          <w:p w14:paraId="7F25D498" w14:textId="77777777" w:rsidR="00671230" w:rsidRPr="000F6258" w:rsidRDefault="000F6258">
            <w:pPr>
              <w:overflowPunct w:val="0"/>
              <w:spacing w:line="360" w:lineRule="exact"/>
              <w:ind w:left="120" w:hangingChars="50" w:hanging="120"/>
              <w:rPr>
                <w:sz w:val="24"/>
                <w:szCs w:val="24"/>
              </w:rPr>
            </w:pPr>
            <w:r w:rsidRPr="000F6258">
              <w:rPr>
                <w:rFonts w:hint="eastAsia"/>
                <w:sz w:val="24"/>
                <w:szCs w:val="24"/>
              </w:rPr>
              <w:t>・アンケート結果を検証し、ニーズの高い取組みの充実を図る。</w:t>
            </w:r>
          </w:p>
        </w:tc>
        <w:tc>
          <w:tcPr>
            <w:tcW w:w="4041" w:type="dxa"/>
            <w:tcBorders>
              <w:top w:val="nil"/>
              <w:bottom w:val="single" w:sz="4" w:space="0" w:color="auto"/>
            </w:tcBorders>
            <w:shd w:val="clear" w:color="auto" w:fill="auto"/>
          </w:tcPr>
          <w:p w14:paraId="6959D96E" w14:textId="77777777" w:rsidR="00671230" w:rsidRPr="000F6258" w:rsidRDefault="000F6258">
            <w:pPr>
              <w:overflowPunct w:val="0"/>
              <w:spacing w:line="360" w:lineRule="exact"/>
              <w:ind w:left="120" w:hangingChars="50" w:hanging="120"/>
              <w:rPr>
                <w:sz w:val="24"/>
                <w:szCs w:val="24"/>
              </w:rPr>
            </w:pPr>
            <w:r w:rsidRPr="000F6258">
              <w:rPr>
                <w:rFonts w:hint="eastAsia"/>
                <w:sz w:val="24"/>
                <w:szCs w:val="24"/>
              </w:rPr>
              <w:t>・令和７年度のアンケート結果を踏まえてニーズの高い取組みを充実させる。</w:t>
            </w:r>
          </w:p>
        </w:tc>
      </w:tr>
      <w:tr w:rsidR="00671230" w:rsidRPr="000F6258" w14:paraId="3713AD26" w14:textId="77777777" w:rsidTr="000F6258">
        <w:trPr>
          <w:trHeight w:val="1521"/>
        </w:trPr>
        <w:tc>
          <w:tcPr>
            <w:tcW w:w="1696" w:type="dxa"/>
            <w:vMerge w:val="restart"/>
            <w:shd w:val="clear" w:color="auto" w:fill="auto"/>
          </w:tcPr>
          <w:p w14:paraId="478D19F7" w14:textId="77777777" w:rsidR="00671230" w:rsidRPr="000F6258" w:rsidRDefault="000F6258">
            <w:pPr>
              <w:overflowPunct w:val="0"/>
              <w:autoSpaceDE w:val="0"/>
              <w:autoSpaceDN w:val="0"/>
              <w:spacing w:line="360" w:lineRule="exact"/>
              <w:rPr>
                <w:sz w:val="24"/>
                <w:szCs w:val="24"/>
              </w:rPr>
            </w:pPr>
            <w:r w:rsidRPr="000F6258">
              <w:rPr>
                <w:rFonts w:hint="eastAsia"/>
                <w:sz w:val="24"/>
                <w:szCs w:val="24"/>
              </w:rPr>
              <w:t>Ⅱ－１</w:t>
            </w:r>
          </w:p>
          <w:p w14:paraId="0B29FE69" w14:textId="77777777" w:rsidR="00671230" w:rsidRPr="000F6258" w:rsidRDefault="000F6258">
            <w:pPr>
              <w:overflowPunct w:val="0"/>
              <w:autoSpaceDE w:val="0"/>
              <w:autoSpaceDN w:val="0"/>
              <w:spacing w:line="360" w:lineRule="exact"/>
              <w:rPr>
                <w:sz w:val="24"/>
                <w:szCs w:val="24"/>
              </w:rPr>
            </w:pPr>
            <w:r w:rsidRPr="000F6258">
              <w:rPr>
                <w:rFonts w:hint="eastAsia"/>
                <w:sz w:val="24"/>
                <w:szCs w:val="24"/>
              </w:rPr>
              <w:t>収支計画の内容、的確性及び実現性</w:t>
            </w:r>
          </w:p>
        </w:tc>
        <w:tc>
          <w:tcPr>
            <w:tcW w:w="1985" w:type="dxa"/>
            <w:vMerge w:val="restart"/>
            <w:shd w:val="clear" w:color="auto" w:fill="auto"/>
          </w:tcPr>
          <w:p w14:paraId="6511C847" w14:textId="77777777" w:rsidR="00671230" w:rsidRPr="000F6258" w:rsidRDefault="000F6258">
            <w:pPr>
              <w:overflowPunct w:val="0"/>
              <w:spacing w:line="360" w:lineRule="exact"/>
              <w:rPr>
                <w:sz w:val="24"/>
                <w:szCs w:val="24"/>
              </w:rPr>
            </w:pPr>
            <w:r w:rsidRPr="000F6258">
              <w:rPr>
                <w:rFonts w:hint="eastAsia"/>
                <w:sz w:val="24"/>
                <w:szCs w:val="24"/>
              </w:rPr>
              <w:t>（１）</w:t>
            </w:r>
          </w:p>
          <w:p w14:paraId="763D263A" w14:textId="77777777" w:rsidR="00671230" w:rsidRPr="000F6258" w:rsidRDefault="000F6258">
            <w:pPr>
              <w:overflowPunct w:val="0"/>
              <w:spacing w:line="360" w:lineRule="exact"/>
              <w:rPr>
                <w:sz w:val="24"/>
                <w:szCs w:val="24"/>
              </w:rPr>
            </w:pPr>
            <w:r w:rsidRPr="000F6258">
              <w:rPr>
                <w:rFonts w:hint="eastAsia"/>
                <w:sz w:val="24"/>
                <w:szCs w:val="24"/>
              </w:rPr>
              <w:t>事業収支の計画に対する妥当性</w:t>
            </w:r>
          </w:p>
        </w:tc>
        <w:tc>
          <w:tcPr>
            <w:tcW w:w="3544" w:type="dxa"/>
            <w:vMerge w:val="restart"/>
            <w:tcBorders>
              <w:right w:val="double" w:sz="4" w:space="0" w:color="auto"/>
            </w:tcBorders>
            <w:shd w:val="clear" w:color="auto" w:fill="auto"/>
          </w:tcPr>
          <w:p w14:paraId="22F0887E" w14:textId="77777777" w:rsidR="00671230" w:rsidRPr="000F6258" w:rsidRDefault="000F6258">
            <w:pPr>
              <w:overflowPunct w:val="0"/>
              <w:spacing w:line="360" w:lineRule="exact"/>
              <w:ind w:left="120" w:hangingChars="50" w:hanging="120"/>
              <w:rPr>
                <w:sz w:val="24"/>
                <w:szCs w:val="24"/>
              </w:rPr>
            </w:pPr>
            <w:r w:rsidRPr="000F6258">
              <w:rPr>
                <w:rFonts w:hint="eastAsia"/>
                <w:sz w:val="24"/>
                <w:szCs w:val="24"/>
              </w:rPr>
              <w:t>・予算と目標とする入園者数を定期的に設定したうえで結果を分析し、経営の黒字化と目標入園者数を確保されたい。</w:t>
            </w:r>
          </w:p>
        </w:tc>
        <w:tc>
          <w:tcPr>
            <w:tcW w:w="3402" w:type="dxa"/>
            <w:tcBorders>
              <w:left w:val="double" w:sz="4" w:space="0" w:color="auto"/>
              <w:bottom w:val="nil"/>
            </w:tcBorders>
            <w:shd w:val="clear" w:color="auto" w:fill="auto"/>
          </w:tcPr>
          <w:p w14:paraId="21B3C921" w14:textId="6FBBB86B" w:rsidR="00671230" w:rsidRPr="000F6258" w:rsidRDefault="000F6258">
            <w:pPr>
              <w:overflowPunct w:val="0"/>
              <w:spacing w:line="360" w:lineRule="exact"/>
              <w:ind w:left="120" w:hangingChars="50" w:hanging="120"/>
              <w:rPr>
                <w:sz w:val="24"/>
                <w:szCs w:val="24"/>
              </w:rPr>
            </w:pPr>
            <w:r w:rsidRPr="000F6258">
              <w:rPr>
                <w:rFonts w:hint="eastAsia"/>
                <w:sz w:val="24"/>
                <w:szCs w:val="24"/>
              </w:rPr>
              <w:t>・年度当初予算を踏まえた各月ごとの目標入園者を設定し、月ごとの結果を確認する。</w:t>
            </w:r>
          </w:p>
        </w:tc>
        <w:tc>
          <w:tcPr>
            <w:tcW w:w="4041" w:type="dxa"/>
            <w:tcBorders>
              <w:bottom w:val="nil"/>
            </w:tcBorders>
            <w:shd w:val="clear" w:color="auto" w:fill="auto"/>
          </w:tcPr>
          <w:p w14:paraId="732A412F" w14:textId="3F98DF8F" w:rsidR="00671230" w:rsidRPr="000F6258" w:rsidRDefault="000F6258" w:rsidP="000F6258">
            <w:pPr>
              <w:spacing w:line="360" w:lineRule="exact"/>
              <w:rPr>
                <w:sz w:val="24"/>
                <w:szCs w:val="24"/>
              </w:rPr>
            </w:pPr>
            <w:r w:rsidRPr="000F6258">
              <w:rPr>
                <w:rFonts w:hint="eastAsia"/>
                <w:sz w:val="24"/>
                <w:szCs w:val="24"/>
              </w:rPr>
              <w:t>・月別の目標入園者数について、年度当初に予算を踏まえて設定し、定期的に把握、分析を行う。</w:t>
            </w:r>
          </w:p>
        </w:tc>
      </w:tr>
      <w:tr w:rsidR="00671230" w:rsidRPr="000F6258" w14:paraId="469FF139" w14:textId="77777777" w:rsidTr="000F6258">
        <w:trPr>
          <w:trHeight w:val="1757"/>
        </w:trPr>
        <w:tc>
          <w:tcPr>
            <w:tcW w:w="1696" w:type="dxa"/>
            <w:vMerge/>
            <w:shd w:val="clear" w:color="auto" w:fill="auto"/>
          </w:tcPr>
          <w:p w14:paraId="08E65510" w14:textId="77777777" w:rsidR="00671230" w:rsidRPr="000F6258" w:rsidRDefault="00671230">
            <w:pPr>
              <w:overflowPunct w:val="0"/>
              <w:autoSpaceDE w:val="0"/>
              <w:autoSpaceDN w:val="0"/>
              <w:spacing w:line="360" w:lineRule="exact"/>
              <w:rPr>
                <w:sz w:val="24"/>
                <w:szCs w:val="24"/>
              </w:rPr>
            </w:pPr>
          </w:p>
        </w:tc>
        <w:tc>
          <w:tcPr>
            <w:tcW w:w="1985" w:type="dxa"/>
            <w:vMerge/>
            <w:shd w:val="clear" w:color="auto" w:fill="auto"/>
          </w:tcPr>
          <w:p w14:paraId="0759FA84" w14:textId="77777777" w:rsidR="00671230" w:rsidRPr="000F6258" w:rsidRDefault="00671230">
            <w:pPr>
              <w:overflowPunct w:val="0"/>
              <w:spacing w:line="360" w:lineRule="exact"/>
              <w:rPr>
                <w:sz w:val="24"/>
                <w:szCs w:val="24"/>
              </w:rPr>
            </w:pPr>
          </w:p>
        </w:tc>
        <w:tc>
          <w:tcPr>
            <w:tcW w:w="3544" w:type="dxa"/>
            <w:vMerge/>
            <w:tcBorders>
              <w:right w:val="double" w:sz="4" w:space="0" w:color="auto"/>
            </w:tcBorders>
            <w:shd w:val="clear" w:color="auto" w:fill="auto"/>
          </w:tcPr>
          <w:p w14:paraId="21EC5A2B" w14:textId="77777777" w:rsidR="00671230" w:rsidRPr="000F6258" w:rsidRDefault="00671230">
            <w:pPr>
              <w:overflowPunct w:val="0"/>
              <w:spacing w:line="360" w:lineRule="exact"/>
              <w:ind w:left="120" w:hangingChars="50" w:hanging="120"/>
              <w:rPr>
                <w:sz w:val="24"/>
                <w:szCs w:val="24"/>
              </w:rPr>
            </w:pPr>
          </w:p>
        </w:tc>
        <w:tc>
          <w:tcPr>
            <w:tcW w:w="3402" w:type="dxa"/>
            <w:tcBorders>
              <w:top w:val="nil"/>
              <w:left w:val="double" w:sz="4" w:space="0" w:color="auto"/>
            </w:tcBorders>
            <w:shd w:val="clear" w:color="auto" w:fill="auto"/>
          </w:tcPr>
          <w:p w14:paraId="034BF0A7" w14:textId="77777777" w:rsidR="00671230" w:rsidRPr="000F6258" w:rsidRDefault="000F6258">
            <w:pPr>
              <w:overflowPunct w:val="0"/>
              <w:spacing w:line="360" w:lineRule="exact"/>
              <w:ind w:left="120" w:hangingChars="50" w:hanging="120"/>
              <w:rPr>
                <w:sz w:val="24"/>
                <w:szCs w:val="24"/>
              </w:rPr>
            </w:pPr>
            <w:r w:rsidRPr="000F6258">
              <w:rPr>
                <w:rFonts w:hint="eastAsia"/>
                <w:sz w:val="24"/>
                <w:szCs w:val="24"/>
              </w:rPr>
              <w:t>・四半期に一度、収支及び入園者数について定期的に評価したうえで、予算と入園者状況を分析する。</w:t>
            </w:r>
          </w:p>
        </w:tc>
        <w:tc>
          <w:tcPr>
            <w:tcW w:w="4041" w:type="dxa"/>
            <w:tcBorders>
              <w:top w:val="nil"/>
            </w:tcBorders>
            <w:shd w:val="clear" w:color="auto" w:fill="auto"/>
          </w:tcPr>
          <w:p w14:paraId="135BDFA8" w14:textId="77777777" w:rsidR="00671230" w:rsidRPr="000F6258" w:rsidRDefault="000F6258">
            <w:pPr>
              <w:overflowPunct w:val="0"/>
              <w:spacing w:line="360" w:lineRule="exact"/>
              <w:ind w:left="120" w:hangingChars="50" w:hanging="120"/>
              <w:rPr>
                <w:sz w:val="24"/>
                <w:szCs w:val="24"/>
              </w:rPr>
            </w:pPr>
            <w:r w:rsidRPr="000F6258">
              <w:rPr>
                <w:rFonts w:hint="eastAsia"/>
                <w:sz w:val="24"/>
                <w:szCs w:val="24"/>
              </w:rPr>
              <w:t>・分析の結果を、集客力があると思われる取組みについては、当該年度を含めて充実、拡充を行うとともに、利益や集客が得られなかった取組みについては、実施方法や内容の見直しを検討する。</w:t>
            </w:r>
          </w:p>
        </w:tc>
      </w:tr>
    </w:tbl>
    <w:p w14:paraId="00F5E33D" w14:textId="77777777" w:rsidR="00671230" w:rsidRDefault="00671230" w:rsidP="000F6258">
      <w:pPr>
        <w:spacing w:line="360" w:lineRule="exact"/>
        <w:ind w:right="960"/>
        <w:rPr>
          <w:sz w:val="24"/>
          <w:szCs w:val="24"/>
        </w:rPr>
      </w:pPr>
    </w:p>
    <w:sectPr w:rsidR="00671230">
      <w:pgSz w:w="16838" w:h="11906" w:orient="landscape"/>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BF88" w14:textId="77777777" w:rsidR="008E3A6C" w:rsidRDefault="008E3A6C" w:rsidP="008E3A6C">
      <w:r>
        <w:separator/>
      </w:r>
    </w:p>
  </w:endnote>
  <w:endnote w:type="continuationSeparator" w:id="0">
    <w:p w14:paraId="5702BB45" w14:textId="77777777" w:rsidR="008E3A6C" w:rsidRDefault="008E3A6C" w:rsidP="008E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00115" w14:textId="77777777" w:rsidR="008E3A6C" w:rsidRDefault="008E3A6C" w:rsidP="008E3A6C">
      <w:r>
        <w:separator/>
      </w:r>
    </w:p>
  </w:footnote>
  <w:footnote w:type="continuationSeparator" w:id="0">
    <w:p w14:paraId="387C98AD" w14:textId="77777777" w:rsidR="008E3A6C" w:rsidRDefault="008E3A6C" w:rsidP="008E3A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GrammaticalErrors/>
  <w:proofState w:spelling="clean" w:grammar="dirty"/>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40"/>
  <w:drawingGridHorizontalSpacing w:val="105"/>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30"/>
    <w:rsid w:val="000F6258"/>
    <w:rsid w:val="00671230"/>
    <w:rsid w:val="008E3A6C"/>
    <w:rsid w:val="00C20BA4"/>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B6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2026-03-25T05:55:00Z</dcterms:created>
  <dcterms:modified xsi:type="dcterms:W3CDTF">2026-06-25T02:37:00Z</dcterms:modified>
  <cp:version/>
</cp:coreProperties>
</file>