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9F93" w14:textId="14CBACFA" w:rsidR="0032392A" w:rsidRDefault="00381FE7" w:rsidP="00381FE7">
      <w:pPr>
        <w:spacing w:line="360" w:lineRule="exact"/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E02A86">
        <w:rPr>
          <w:rFonts w:hint="eastAsia"/>
          <w:sz w:val="28"/>
        </w:rPr>
        <w:t>６</w:t>
      </w:r>
      <w:r>
        <w:rPr>
          <w:rFonts w:hint="eastAsia"/>
          <w:sz w:val="28"/>
        </w:rPr>
        <w:t>年度モニタリング評価実施による改善のための対応方針</w:t>
      </w:r>
    </w:p>
    <w:p w14:paraId="379FB207" w14:textId="77777777" w:rsidR="00381FE7" w:rsidRDefault="00381FE7" w:rsidP="00381FE7">
      <w:pPr>
        <w:spacing w:line="360" w:lineRule="exact"/>
        <w:jc w:val="center"/>
        <w:rPr>
          <w:sz w:val="28"/>
        </w:rPr>
      </w:pPr>
    </w:p>
    <w:p w14:paraId="047D9867" w14:textId="77777777" w:rsidR="00381FE7" w:rsidRDefault="00381FE7" w:rsidP="00381FE7">
      <w:pPr>
        <w:wordWrap w:val="0"/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施設名：花の文化園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3544"/>
        <w:gridCol w:w="3402"/>
        <w:gridCol w:w="4041"/>
      </w:tblGrid>
      <w:tr w:rsidR="00EC3B78" w14:paraId="2E01D217" w14:textId="77777777" w:rsidTr="00EC3B78">
        <w:trPr>
          <w:trHeight w:val="360"/>
        </w:trPr>
        <w:tc>
          <w:tcPr>
            <w:tcW w:w="1696" w:type="dxa"/>
            <w:vMerge w:val="restart"/>
            <w:vAlign w:val="center"/>
          </w:tcPr>
          <w:p w14:paraId="614C636F" w14:textId="77777777" w:rsidR="00EC3B78" w:rsidRDefault="00EC3B78" w:rsidP="00381FE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評価項目</w:t>
            </w:r>
          </w:p>
        </w:tc>
        <w:tc>
          <w:tcPr>
            <w:tcW w:w="1985" w:type="dxa"/>
            <w:vMerge w:val="restart"/>
            <w:vAlign w:val="center"/>
          </w:tcPr>
          <w:p w14:paraId="4A8F861F" w14:textId="77777777" w:rsidR="00EC3B78" w:rsidRDefault="00EC3B78" w:rsidP="00381FE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評価基準</w:t>
            </w:r>
          </w:p>
        </w:tc>
        <w:tc>
          <w:tcPr>
            <w:tcW w:w="3544" w:type="dxa"/>
            <w:vMerge w:val="restart"/>
            <w:tcBorders>
              <w:right w:val="double" w:sz="4" w:space="0" w:color="auto"/>
            </w:tcBorders>
            <w:vAlign w:val="center"/>
          </w:tcPr>
          <w:p w14:paraId="06E31136" w14:textId="3F690602" w:rsidR="00EC3B78" w:rsidRDefault="00EC3B78" w:rsidP="00381FE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02A86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>年度</w:t>
            </w:r>
          </w:p>
          <w:p w14:paraId="7F192335" w14:textId="70FF22B3" w:rsidR="00EC3B78" w:rsidRDefault="00EC3B78" w:rsidP="00381FE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評価委員会の指摘・提言等</w:t>
            </w:r>
          </w:p>
        </w:tc>
        <w:tc>
          <w:tcPr>
            <w:tcW w:w="7443" w:type="dxa"/>
            <w:gridSpan w:val="2"/>
            <w:tcBorders>
              <w:left w:val="double" w:sz="4" w:space="0" w:color="auto"/>
            </w:tcBorders>
            <w:vAlign w:val="center"/>
          </w:tcPr>
          <w:p w14:paraId="02FC8EE0" w14:textId="07DFAB3A" w:rsidR="00EC3B78" w:rsidRDefault="00EC3B78" w:rsidP="00381FE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02A86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年度以降</w:t>
            </w:r>
          </w:p>
        </w:tc>
      </w:tr>
      <w:tr w:rsidR="00181344" w14:paraId="1E541B30" w14:textId="77777777" w:rsidTr="00C44615">
        <w:trPr>
          <w:trHeight w:val="360"/>
        </w:trPr>
        <w:tc>
          <w:tcPr>
            <w:tcW w:w="1696" w:type="dxa"/>
            <w:vMerge/>
            <w:vAlign w:val="center"/>
          </w:tcPr>
          <w:p w14:paraId="75E2BB5E" w14:textId="77777777" w:rsidR="00181344" w:rsidRDefault="00181344" w:rsidP="00381FE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63B0EDF" w14:textId="77777777" w:rsidR="00181344" w:rsidRDefault="00181344" w:rsidP="00381FE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right w:val="double" w:sz="4" w:space="0" w:color="auto"/>
            </w:tcBorders>
            <w:vAlign w:val="center"/>
          </w:tcPr>
          <w:p w14:paraId="72B62F17" w14:textId="77777777" w:rsidR="00181344" w:rsidRDefault="00181344" w:rsidP="00381FE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14:paraId="52397A65" w14:textId="22CC6196" w:rsidR="00181344" w:rsidRDefault="00EC3B78" w:rsidP="00381FE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改善のための対応方針</w:t>
            </w:r>
          </w:p>
        </w:tc>
        <w:tc>
          <w:tcPr>
            <w:tcW w:w="4041" w:type="dxa"/>
            <w:vAlign w:val="center"/>
          </w:tcPr>
          <w:p w14:paraId="0219440B" w14:textId="6F7E094B" w:rsidR="00181344" w:rsidRDefault="00EC3B78" w:rsidP="00381FE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事業計画等への反映</w:t>
            </w:r>
          </w:p>
        </w:tc>
      </w:tr>
      <w:tr w:rsidR="003049AF" w14:paraId="1E5AC00B" w14:textId="77777777" w:rsidTr="00C44615">
        <w:trPr>
          <w:trHeight w:val="450"/>
        </w:trPr>
        <w:tc>
          <w:tcPr>
            <w:tcW w:w="1696" w:type="dxa"/>
          </w:tcPr>
          <w:p w14:paraId="0BFF761C" w14:textId="7F927574" w:rsidR="003049AF" w:rsidRDefault="00726644" w:rsidP="003049AF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Ⅰ―</w:t>
            </w:r>
            <w:r w:rsidRPr="00726644">
              <w:rPr>
                <w:rFonts w:hint="eastAsia"/>
                <w:sz w:val="24"/>
                <w:szCs w:val="24"/>
              </w:rPr>
              <w:t>１　施設の効用を最大限に発揮するための方策</w:t>
            </w:r>
          </w:p>
          <w:p w14:paraId="02C49FCC" w14:textId="77777777" w:rsidR="003049AF" w:rsidRDefault="003049AF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6C3F878B" w14:textId="77777777" w:rsidR="003049AF" w:rsidRDefault="003049AF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17EEB95D" w14:textId="77777777" w:rsidR="003049AF" w:rsidRDefault="003049AF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1E4EB537" w14:textId="77777777" w:rsidR="003049AF" w:rsidRDefault="003049AF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011DB679" w14:textId="77777777" w:rsidR="00EC5515" w:rsidRDefault="00EC551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20565562" w14:textId="77777777" w:rsidR="00EC5515" w:rsidRDefault="00EC551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1169777E" w14:textId="77777777" w:rsidR="00EC5515" w:rsidRDefault="00EC551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7648C513" w14:textId="77777777" w:rsidR="00EC5515" w:rsidRDefault="00EC551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5E1AD9DD" w14:textId="77777777" w:rsidR="00EC5515" w:rsidRDefault="00EC551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6C6A98F0" w14:textId="77777777" w:rsidR="00EC5515" w:rsidRDefault="00EC551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78315B40" w14:textId="77777777" w:rsidR="00EC5515" w:rsidRDefault="00EC551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7F7EAF8A" w14:textId="77777777" w:rsidR="00EC5515" w:rsidRDefault="00EC551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26B50A82" w14:textId="77777777" w:rsidR="00EC5515" w:rsidRDefault="00EC551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42F64FBD" w14:textId="77777777" w:rsidR="00EC5515" w:rsidRDefault="00EC551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16E57500" w14:textId="0A60E9CF" w:rsidR="00EC5515" w:rsidRDefault="00EC5515" w:rsidP="003049AF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BC6391E" w14:textId="0A665EDA" w:rsidR="003049AF" w:rsidRPr="00726644" w:rsidRDefault="00726644" w:rsidP="003049AF">
            <w:pPr>
              <w:spacing w:line="360" w:lineRule="exact"/>
              <w:ind w:left="480" w:hangingChars="200" w:hanging="480"/>
              <w:rPr>
                <w:sz w:val="24"/>
                <w:szCs w:val="24"/>
              </w:rPr>
            </w:pPr>
            <w:r w:rsidRPr="00726644">
              <w:rPr>
                <w:rFonts w:hint="eastAsia"/>
                <w:sz w:val="24"/>
                <w:szCs w:val="24"/>
              </w:rPr>
              <w:t>（１）花に憩い、花に学び、花で交流する場を提供する業務</w:t>
            </w: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3CC715FD" w14:textId="64454A0B" w:rsidR="00E330EC" w:rsidRDefault="00726644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3049AF">
              <w:rPr>
                <w:rFonts w:hint="eastAsia"/>
                <w:sz w:val="24"/>
                <w:szCs w:val="24"/>
              </w:rPr>
              <w:t>来園者数</w:t>
            </w:r>
            <w:r w:rsidR="00A837CA">
              <w:rPr>
                <w:rFonts w:hint="eastAsia"/>
                <w:sz w:val="24"/>
                <w:szCs w:val="24"/>
              </w:rPr>
              <w:t>やイベント回数が前年度を上回っ</w:t>
            </w:r>
            <w:r w:rsidR="003049AF">
              <w:rPr>
                <w:rFonts w:hint="eastAsia"/>
                <w:sz w:val="24"/>
                <w:szCs w:val="24"/>
              </w:rPr>
              <w:t>たのは</w:t>
            </w:r>
            <w:r w:rsidR="00A837CA">
              <w:rPr>
                <w:rFonts w:hint="eastAsia"/>
                <w:sz w:val="24"/>
                <w:szCs w:val="24"/>
              </w:rPr>
              <w:t>評価できる。しかし、イベント</w:t>
            </w:r>
            <w:r w:rsidR="003C5CE7">
              <w:rPr>
                <w:rFonts w:hint="eastAsia"/>
                <w:sz w:val="24"/>
                <w:szCs w:val="24"/>
              </w:rPr>
              <w:t>の効果</w:t>
            </w:r>
            <w:r w:rsidR="00A837CA">
              <w:rPr>
                <w:rFonts w:hint="eastAsia"/>
                <w:sz w:val="24"/>
                <w:szCs w:val="24"/>
              </w:rPr>
              <w:t>について、</w:t>
            </w:r>
            <w:r w:rsidR="003049AF">
              <w:rPr>
                <w:rFonts w:hint="eastAsia"/>
                <w:sz w:val="24"/>
                <w:szCs w:val="24"/>
              </w:rPr>
              <w:t>経年で評価ができるように、イベント開催と来園者数の相関について評価方法</w:t>
            </w:r>
            <w:r w:rsidR="003C5CE7">
              <w:rPr>
                <w:rFonts w:hint="eastAsia"/>
                <w:sz w:val="24"/>
                <w:szCs w:val="24"/>
              </w:rPr>
              <w:t>を</w:t>
            </w:r>
            <w:r w:rsidR="003049AF">
              <w:rPr>
                <w:rFonts w:hint="eastAsia"/>
                <w:sz w:val="24"/>
                <w:szCs w:val="24"/>
              </w:rPr>
              <w:t>工夫されたい。</w:t>
            </w:r>
          </w:p>
          <w:p w14:paraId="75049E18" w14:textId="11D428BE" w:rsidR="00E330EC" w:rsidRPr="00E330EC" w:rsidRDefault="00726644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・特別展開催による植物の詳細説明だけでなく、常設の</w:t>
            </w:r>
            <w:r w:rsidR="00A837CA">
              <w:rPr>
                <w:rFonts w:hint="eastAsia"/>
                <w:sz w:val="24"/>
                <w:szCs w:val="24"/>
              </w:rPr>
              <w:t>植物の</w:t>
            </w:r>
            <w:r>
              <w:rPr>
                <w:rFonts w:hint="eastAsia"/>
                <w:sz w:val="24"/>
                <w:szCs w:val="24"/>
              </w:rPr>
              <w:t>案内表示についても、</w:t>
            </w:r>
            <w:r w:rsidR="003C5CE7">
              <w:rPr>
                <w:rFonts w:hint="eastAsia"/>
                <w:sz w:val="24"/>
                <w:szCs w:val="24"/>
              </w:rPr>
              <w:t>DXを活用するなど</w:t>
            </w:r>
            <w:r>
              <w:rPr>
                <w:rFonts w:hint="eastAsia"/>
                <w:sz w:val="24"/>
                <w:szCs w:val="24"/>
              </w:rPr>
              <w:t>工夫されたい。</w:t>
            </w:r>
          </w:p>
          <w:p w14:paraId="133B47D4" w14:textId="2F1A777E" w:rsidR="00E330EC" w:rsidRDefault="00726644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・広報の取組結果について、数値化して成果を見えるように取り組</w:t>
            </w:r>
            <w:r w:rsidR="003C5CE7">
              <w:rPr>
                <w:rFonts w:hint="eastAsia"/>
                <w:sz w:val="24"/>
                <w:szCs w:val="24"/>
              </w:rPr>
              <w:t>まれたい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174577E3" w14:textId="5249B675" w:rsidR="00D92209" w:rsidRPr="003049AF" w:rsidRDefault="00D92209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・シルバニアファミリーと連携した音声ガイダンスについて、早期に導入されたい。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44F521E3" w14:textId="77777777" w:rsidR="003049AF" w:rsidRPr="00E330EC" w:rsidRDefault="004C5359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 w:rsidRPr="00E330EC">
              <w:rPr>
                <w:rFonts w:hint="eastAsia"/>
                <w:sz w:val="24"/>
                <w:szCs w:val="24"/>
              </w:rPr>
              <w:t>・</w:t>
            </w:r>
            <w:r w:rsidR="00726644" w:rsidRPr="00E330EC">
              <w:rPr>
                <w:rFonts w:hint="eastAsia"/>
                <w:sz w:val="24"/>
                <w:szCs w:val="24"/>
              </w:rPr>
              <w:t>指定管理者と協議の上、イベント開催と来園者数の相関についての評価方法について、検討する。</w:t>
            </w:r>
          </w:p>
          <w:p w14:paraId="21F8B025" w14:textId="77777777" w:rsidR="003C5CE7" w:rsidRDefault="003C5CE7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3C423E87" w14:textId="77777777" w:rsidR="003C5CE7" w:rsidRDefault="003C5CE7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5669FF00" w14:textId="77777777" w:rsidR="003C5CE7" w:rsidRDefault="003C5CE7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637D0A84" w14:textId="3B688708" w:rsidR="004C5359" w:rsidRPr="00E330EC" w:rsidRDefault="004C5359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 w:rsidRPr="00E330EC">
              <w:rPr>
                <w:rFonts w:hint="eastAsia"/>
                <w:sz w:val="24"/>
                <w:szCs w:val="24"/>
              </w:rPr>
              <w:t>・園内の常設の</w:t>
            </w:r>
            <w:r w:rsidR="00545B9D" w:rsidRPr="00E330EC">
              <w:rPr>
                <w:rFonts w:hint="eastAsia"/>
                <w:sz w:val="24"/>
                <w:szCs w:val="24"/>
              </w:rPr>
              <w:t>植物</w:t>
            </w:r>
            <w:r w:rsidRPr="00E330EC">
              <w:rPr>
                <w:rFonts w:hint="eastAsia"/>
                <w:sz w:val="24"/>
                <w:szCs w:val="24"/>
              </w:rPr>
              <w:t>樹名板</w:t>
            </w:r>
            <w:r w:rsidR="005D6174" w:rsidRPr="00E330EC">
              <w:rPr>
                <w:rFonts w:hint="eastAsia"/>
                <w:sz w:val="24"/>
                <w:szCs w:val="24"/>
              </w:rPr>
              <w:t>については、植物案内の情報発信できるように対応する。</w:t>
            </w:r>
          </w:p>
          <w:p w14:paraId="5A7F3F60" w14:textId="77777777" w:rsidR="003C5CE7" w:rsidRDefault="003C5CE7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4B68C50F" w14:textId="2566E65B" w:rsidR="005D6174" w:rsidRPr="00E330EC" w:rsidRDefault="005D6174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 w:rsidRPr="00E330EC">
              <w:rPr>
                <w:rFonts w:hint="eastAsia"/>
                <w:sz w:val="24"/>
                <w:szCs w:val="24"/>
              </w:rPr>
              <w:t>・広報の取組結果について、目標</w:t>
            </w:r>
            <w:r w:rsidR="00364063" w:rsidRPr="00E330EC">
              <w:rPr>
                <w:rFonts w:hint="eastAsia"/>
                <w:sz w:val="24"/>
                <w:szCs w:val="24"/>
              </w:rPr>
              <w:t>となる</w:t>
            </w:r>
            <w:r w:rsidRPr="00E330EC">
              <w:rPr>
                <w:rFonts w:hint="eastAsia"/>
                <w:sz w:val="24"/>
                <w:szCs w:val="24"/>
              </w:rPr>
              <w:t>指標を定め、取組の成果を分析できるように取組む。</w:t>
            </w:r>
          </w:p>
          <w:p w14:paraId="5F14FEA1" w14:textId="779FF2C5" w:rsidR="00D92209" w:rsidRPr="00E330EC" w:rsidRDefault="00D92209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 w:rsidRPr="00E330EC">
              <w:rPr>
                <w:rFonts w:hint="eastAsia"/>
                <w:sz w:val="24"/>
                <w:szCs w:val="24"/>
              </w:rPr>
              <w:t>・</w:t>
            </w:r>
            <w:r w:rsidR="001C4AB5">
              <w:rPr>
                <w:rFonts w:hint="eastAsia"/>
                <w:sz w:val="24"/>
                <w:szCs w:val="24"/>
              </w:rPr>
              <w:t>実施に向けたスケジュールの共有</w:t>
            </w:r>
          </w:p>
        </w:tc>
        <w:tc>
          <w:tcPr>
            <w:tcW w:w="4041" w:type="dxa"/>
          </w:tcPr>
          <w:p w14:paraId="1CABB311" w14:textId="77777777" w:rsidR="001C4AB5" w:rsidRDefault="001C4AB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09C61AE4" w14:textId="77777777" w:rsidR="001C4AB5" w:rsidRDefault="001C4AB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43346FFC" w14:textId="77777777" w:rsidR="001C4AB5" w:rsidRDefault="001C4AB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4BCF5D64" w14:textId="77777777" w:rsidR="001C4AB5" w:rsidRDefault="001C4AB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1986629A" w14:textId="77777777" w:rsidR="001C4AB5" w:rsidRDefault="001C4AB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277D2726" w14:textId="77777777" w:rsidR="001C4AB5" w:rsidRDefault="001C4AB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2C4BA666" w14:textId="77777777" w:rsidR="001C4AB5" w:rsidRDefault="001C4AB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1A5DFEB3" w14:textId="4E3154DE" w:rsidR="003049AF" w:rsidRPr="00E330EC" w:rsidRDefault="00545B9D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 w:rsidRPr="00E330EC">
              <w:rPr>
                <w:rFonts w:hint="eastAsia"/>
                <w:sz w:val="24"/>
                <w:szCs w:val="24"/>
              </w:rPr>
              <w:t>・常設の植物樹名板についての数の把握と対応</w:t>
            </w:r>
            <w:r w:rsidR="001C4AB5">
              <w:rPr>
                <w:rFonts w:hint="eastAsia"/>
                <w:sz w:val="24"/>
                <w:szCs w:val="24"/>
              </w:rPr>
              <w:t>した実績</w:t>
            </w:r>
            <w:r w:rsidRPr="00E330EC">
              <w:rPr>
                <w:rFonts w:hint="eastAsia"/>
                <w:sz w:val="24"/>
                <w:szCs w:val="24"/>
              </w:rPr>
              <w:t>の確認。</w:t>
            </w:r>
          </w:p>
          <w:p w14:paraId="3D6A2179" w14:textId="77777777" w:rsidR="001C4AB5" w:rsidRDefault="001C4AB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407C3A7D" w14:textId="77777777" w:rsidR="001C4AB5" w:rsidRDefault="001C4AB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438A999D" w14:textId="77777777" w:rsidR="001C4AB5" w:rsidRDefault="001C4AB5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5E41C027" w14:textId="78DCA3F3" w:rsidR="00545B9D" w:rsidRPr="00E330EC" w:rsidRDefault="00545B9D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 w:rsidRPr="00E330EC">
              <w:rPr>
                <w:rFonts w:hint="eastAsia"/>
                <w:sz w:val="24"/>
                <w:szCs w:val="24"/>
              </w:rPr>
              <w:t>・広報の目標数の設置及び広報効果の測定方法の検討。</w:t>
            </w:r>
          </w:p>
          <w:p w14:paraId="04727F17" w14:textId="77777777" w:rsidR="00545B9D" w:rsidRPr="00E330EC" w:rsidRDefault="00545B9D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760E23ED" w14:textId="77777777" w:rsidR="00545B9D" w:rsidRDefault="00545B9D" w:rsidP="003049AF">
            <w:pPr>
              <w:spacing w:line="360" w:lineRule="exact"/>
              <w:rPr>
                <w:sz w:val="24"/>
                <w:szCs w:val="24"/>
              </w:rPr>
            </w:pPr>
          </w:p>
          <w:p w14:paraId="4379450C" w14:textId="1EC4476C" w:rsidR="001C4AB5" w:rsidRPr="00E330EC" w:rsidRDefault="001C4AB5" w:rsidP="003049AF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・令和7年度事業計画へ反映する。</w:t>
            </w:r>
          </w:p>
        </w:tc>
      </w:tr>
      <w:tr w:rsidR="003049AF" w14:paraId="1E7CA199" w14:textId="77777777" w:rsidTr="00C44615">
        <w:trPr>
          <w:trHeight w:val="450"/>
        </w:trPr>
        <w:tc>
          <w:tcPr>
            <w:tcW w:w="1696" w:type="dxa"/>
          </w:tcPr>
          <w:p w14:paraId="040B23D8" w14:textId="4F7D8F78" w:rsidR="003049AF" w:rsidRDefault="00726644" w:rsidP="003049AF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Ⅱ―</w:t>
            </w:r>
            <w:r w:rsidRPr="00726644">
              <w:rPr>
                <w:rFonts w:hint="eastAsia"/>
                <w:sz w:val="24"/>
                <w:szCs w:val="24"/>
              </w:rPr>
              <w:t>１　収支計画の内容、的確性及び実現性</w:t>
            </w:r>
          </w:p>
        </w:tc>
        <w:tc>
          <w:tcPr>
            <w:tcW w:w="1985" w:type="dxa"/>
          </w:tcPr>
          <w:p w14:paraId="3A6AC353" w14:textId="4D88C5E2" w:rsidR="003049AF" w:rsidRPr="00D727C6" w:rsidRDefault="00726644" w:rsidP="003049AF">
            <w:pPr>
              <w:spacing w:line="360" w:lineRule="exact"/>
              <w:ind w:left="480" w:hangingChars="200" w:hanging="480"/>
              <w:rPr>
                <w:sz w:val="24"/>
                <w:szCs w:val="24"/>
              </w:rPr>
            </w:pPr>
            <w:r w:rsidRPr="00726644">
              <w:rPr>
                <w:rFonts w:hint="eastAsia"/>
                <w:sz w:val="24"/>
                <w:szCs w:val="24"/>
              </w:rPr>
              <w:t>（１）事業収支の計画に対する妥当性</w:t>
            </w: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2CD42749" w14:textId="45F5FAD3" w:rsidR="003049AF" w:rsidRDefault="005D6174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726644">
              <w:rPr>
                <w:rFonts w:hint="eastAsia"/>
                <w:sz w:val="24"/>
                <w:szCs w:val="24"/>
              </w:rPr>
              <w:t>目標来園者数の達成をしても黒字化しない試算となるため、入園者数だけでなく、収支管理を含めた指標設定し、改善が必要</w:t>
            </w:r>
            <w:r w:rsidR="009F27F3">
              <w:rPr>
                <w:rFonts w:hint="eastAsia"/>
                <w:sz w:val="24"/>
                <w:szCs w:val="24"/>
              </w:rPr>
              <w:t>である</w:t>
            </w:r>
            <w:r w:rsidR="007266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61F3F715" w14:textId="1C5DD53A" w:rsidR="003049AF" w:rsidRPr="00E330EC" w:rsidRDefault="005D6174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 w:rsidRPr="00E330EC">
              <w:rPr>
                <w:rFonts w:hint="eastAsia"/>
                <w:sz w:val="24"/>
                <w:szCs w:val="24"/>
              </w:rPr>
              <w:t>・目標来園者数の設定だけでなく、収支についても指標を指定管理者と共有して、</w:t>
            </w:r>
            <w:r w:rsidR="00DA7B67" w:rsidRPr="00E330EC">
              <w:rPr>
                <w:rFonts w:hint="eastAsia"/>
                <w:sz w:val="24"/>
                <w:szCs w:val="24"/>
              </w:rPr>
              <w:t>持続可能な収支計画の妥当性を検討する。</w:t>
            </w:r>
          </w:p>
        </w:tc>
        <w:tc>
          <w:tcPr>
            <w:tcW w:w="4041" w:type="dxa"/>
          </w:tcPr>
          <w:p w14:paraId="7AAA6231" w14:textId="7585E2B7" w:rsidR="00545B9D" w:rsidRPr="00E330EC" w:rsidRDefault="00545B9D" w:rsidP="005D176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 w:rsidRPr="00E330EC">
              <w:rPr>
                <w:rFonts w:hint="eastAsia"/>
                <w:sz w:val="24"/>
                <w:szCs w:val="24"/>
              </w:rPr>
              <w:t>・収支の指標については、指定管理者と適宜共有して、持続可能な運営に向けて引き続き妥当性を検討する。</w:t>
            </w:r>
          </w:p>
          <w:p w14:paraId="675AB91E" w14:textId="4CE4A568" w:rsidR="00545B9D" w:rsidRPr="00E330EC" w:rsidRDefault="00545B9D" w:rsidP="003049AF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39814F6D" w14:textId="77777777" w:rsidR="00381FE7" w:rsidRPr="00690C1D" w:rsidRDefault="00381FE7" w:rsidP="004C21F9">
      <w:pPr>
        <w:spacing w:line="360" w:lineRule="exact"/>
        <w:ind w:right="1200"/>
        <w:rPr>
          <w:sz w:val="24"/>
          <w:szCs w:val="24"/>
        </w:rPr>
      </w:pPr>
    </w:p>
    <w:sectPr w:rsidR="00381FE7" w:rsidRPr="00690C1D" w:rsidSect="00C32718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1485" w14:textId="77777777" w:rsidR="004934BC" w:rsidRDefault="004934BC" w:rsidP="00890FB9">
      <w:r>
        <w:separator/>
      </w:r>
    </w:p>
  </w:endnote>
  <w:endnote w:type="continuationSeparator" w:id="0">
    <w:p w14:paraId="09C9729E" w14:textId="77777777" w:rsidR="004934BC" w:rsidRDefault="004934BC" w:rsidP="0089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5956F" w14:textId="77777777" w:rsidR="004934BC" w:rsidRDefault="004934BC" w:rsidP="00890FB9">
      <w:r>
        <w:separator/>
      </w:r>
    </w:p>
  </w:footnote>
  <w:footnote w:type="continuationSeparator" w:id="0">
    <w:p w14:paraId="2EC8C168" w14:textId="77777777" w:rsidR="004934BC" w:rsidRDefault="004934BC" w:rsidP="0089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E7"/>
    <w:rsid w:val="00001A9D"/>
    <w:rsid w:val="00005DA6"/>
    <w:rsid w:val="00014256"/>
    <w:rsid w:val="000D2554"/>
    <w:rsid w:val="000D56E1"/>
    <w:rsid w:val="0014300A"/>
    <w:rsid w:val="00146A41"/>
    <w:rsid w:val="00181344"/>
    <w:rsid w:val="001916A5"/>
    <w:rsid w:val="001A62AF"/>
    <w:rsid w:val="001C4AB5"/>
    <w:rsid w:val="001C5988"/>
    <w:rsid w:val="00250E54"/>
    <w:rsid w:val="00286C48"/>
    <w:rsid w:val="002D4DC2"/>
    <w:rsid w:val="002D73CE"/>
    <w:rsid w:val="003049AF"/>
    <w:rsid w:val="0032392A"/>
    <w:rsid w:val="00333B8A"/>
    <w:rsid w:val="003344F2"/>
    <w:rsid w:val="003502BD"/>
    <w:rsid w:val="00364063"/>
    <w:rsid w:val="00364BCB"/>
    <w:rsid w:val="00381FE7"/>
    <w:rsid w:val="003C2508"/>
    <w:rsid w:val="003C5CE7"/>
    <w:rsid w:val="003E52FD"/>
    <w:rsid w:val="00413F01"/>
    <w:rsid w:val="00414008"/>
    <w:rsid w:val="00453D81"/>
    <w:rsid w:val="004934BC"/>
    <w:rsid w:val="004B5873"/>
    <w:rsid w:val="004C04A6"/>
    <w:rsid w:val="004C21F9"/>
    <w:rsid w:val="004C5359"/>
    <w:rsid w:val="004E673C"/>
    <w:rsid w:val="00540189"/>
    <w:rsid w:val="0054106F"/>
    <w:rsid w:val="00545B9D"/>
    <w:rsid w:val="00560AC6"/>
    <w:rsid w:val="00562518"/>
    <w:rsid w:val="0057759E"/>
    <w:rsid w:val="0058328B"/>
    <w:rsid w:val="00597A6C"/>
    <w:rsid w:val="005C7854"/>
    <w:rsid w:val="005D1767"/>
    <w:rsid w:val="005D6174"/>
    <w:rsid w:val="00602D04"/>
    <w:rsid w:val="00684B00"/>
    <w:rsid w:val="00690C1D"/>
    <w:rsid w:val="006C48B1"/>
    <w:rsid w:val="00706C01"/>
    <w:rsid w:val="00726644"/>
    <w:rsid w:val="0075658E"/>
    <w:rsid w:val="007C0837"/>
    <w:rsid w:val="00862873"/>
    <w:rsid w:val="0086663A"/>
    <w:rsid w:val="0087674F"/>
    <w:rsid w:val="00890FB9"/>
    <w:rsid w:val="008B55C1"/>
    <w:rsid w:val="008E257E"/>
    <w:rsid w:val="008F7AC9"/>
    <w:rsid w:val="009035AF"/>
    <w:rsid w:val="00904B62"/>
    <w:rsid w:val="00974368"/>
    <w:rsid w:val="009748B5"/>
    <w:rsid w:val="009774EA"/>
    <w:rsid w:val="00991FB9"/>
    <w:rsid w:val="009A742E"/>
    <w:rsid w:val="009B4C7E"/>
    <w:rsid w:val="009E1214"/>
    <w:rsid w:val="009E3923"/>
    <w:rsid w:val="009F27F3"/>
    <w:rsid w:val="009F31D8"/>
    <w:rsid w:val="00A00EDB"/>
    <w:rsid w:val="00A27EDD"/>
    <w:rsid w:val="00A36080"/>
    <w:rsid w:val="00A62667"/>
    <w:rsid w:val="00A76C48"/>
    <w:rsid w:val="00A837CA"/>
    <w:rsid w:val="00A90107"/>
    <w:rsid w:val="00B04F07"/>
    <w:rsid w:val="00B80E1C"/>
    <w:rsid w:val="00B87B30"/>
    <w:rsid w:val="00B94DA9"/>
    <w:rsid w:val="00C32718"/>
    <w:rsid w:val="00C35D8D"/>
    <w:rsid w:val="00C4423E"/>
    <w:rsid w:val="00C44615"/>
    <w:rsid w:val="00D044DB"/>
    <w:rsid w:val="00D1248C"/>
    <w:rsid w:val="00D4052F"/>
    <w:rsid w:val="00D60830"/>
    <w:rsid w:val="00D727C6"/>
    <w:rsid w:val="00D92209"/>
    <w:rsid w:val="00DA7B67"/>
    <w:rsid w:val="00DB3CBB"/>
    <w:rsid w:val="00E02A86"/>
    <w:rsid w:val="00E14015"/>
    <w:rsid w:val="00E330EC"/>
    <w:rsid w:val="00E53043"/>
    <w:rsid w:val="00E6287D"/>
    <w:rsid w:val="00E85342"/>
    <w:rsid w:val="00EC3B78"/>
    <w:rsid w:val="00EC419A"/>
    <w:rsid w:val="00EC5515"/>
    <w:rsid w:val="00EF0800"/>
    <w:rsid w:val="00F27248"/>
    <w:rsid w:val="00F359B0"/>
    <w:rsid w:val="00F42CAF"/>
    <w:rsid w:val="00F569AF"/>
    <w:rsid w:val="00F65292"/>
    <w:rsid w:val="00F866F3"/>
    <w:rsid w:val="00F95C0D"/>
    <w:rsid w:val="00FE7801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50EC65"/>
  <w15:chartTrackingRefBased/>
  <w15:docId w15:val="{68D07DE5-ADC6-4355-8640-5498E248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0F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FB9"/>
  </w:style>
  <w:style w:type="paragraph" w:styleId="a6">
    <w:name w:val="footer"/>
    <w:basedOn w:val="a"/>
    <w:link w:val="a7"/>
    <w:uiPriority w:val="99"/>
    <w:unhideWhenUsed/>
    <w:rsid w:val="00890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FB9"/>
  </w:style>
  <w:style w:type="paragraph" w:styleId="a8">
    <w:name w:val="Balloon Text"/>
    <w:basedOn w:val="a"/>
    <w:link w:val="a9"/>
    <w:uiPriority w:val="99"/>
    <w:semiHidden/>
    <w:unhideWhenUsed/>
    <w:rsid w:val="009F3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31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11DA-3C45-40E5-A09E-009D7DD6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奥野　裕貴</dc:creator>
  <cp:keywords/>
  <dc:description/>
  <cp:lastModifiedBy>松嶋　実幸</cp:lastModifiedBy>
  <cp:revision>7</cp:revision>
  <cp:lastPrinted>2024-03-07T07:52:00Z</cp:lastPrinted>
  <dcterms:created xsi:type="dcterms:W3CDTF">2025-02-20T06:25:00Z</dcterms:created>
  <dcterms:modified xsi:type="dcterms:W3CDTF">2026-07-10T08:23:00Z</dcterms:modified>
</cp:coreProperties>
</file>