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計画課</w:t>
      </w: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Default="00957638" w:rsidP="0095763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957638" w:rsidRPr="00DE78D7" w:rsidRDefault="00957638" w:rsidP="00957638">
      <w:pPr>
        <w:autoSpaceDE w:val="0"/>
        <w:autoSpaceDN w:val="0"/>
        <w:jc w:val="center"/>
        <w:rPr>
          <w:rFonts w:hAnsi="ＭＳ 明朝"/>
          <w:b/>
          <w:color w:val="000000" w:themeColor="text1"/>
          <w:spacing w:val="139"/>
          <w:kern w:val="0"/>
          <w:sz w:val="28"/>
        </w:rPr>
      </w:pPr>
      <w:r w:rsidRPr="00DE78D7">
        <w:rPr>
          <w:rFonts w:hAnsi="ＭＳ 明朝"/>
          <w:b/>
          <w:color w:val="000000" w:themeColor="text1"/>
          <w:spacing w:val="139"/>
          <w:kern w:val="0"/>
          <w:sz w:val="28"/>
        </w:rPr>
        <w:br w:type="page"/>
      </w:r>
    </w:p>
    <w:p w:rsidR="00AD7A8E" w:rsidRPr="0078295D" w:rsidRDefault="00AD7A8E" w:rsidP="00AD7A8E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計画グループ</w:t>
      </w:r>
    </w:p>
    <w:p w:rsidR="005D1EB9" w:rsidRPr="0078295D" w:rsidRDefault="005D1EB9" w:rsidP="00AD7A8E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</w:p>
    <w:p w:rsidR="005D1EB9" w:rsidRPr="0078295D" w:rsidRDefault="00CB25C9" w:rsidP="005D1EB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t>１　「万博ビジョン」の策定</w:t>
      </w:r>
    </w:p>
    <w:p w:rsidR="005D1EB9" w:rsidRPr="0078295D" w:rsidRDefault="007404CF" w:rsidP="005D1EB9">
      <w:pPr>
        <w:autoSpaceDE w:val="0"/>
        <w:autoSpaceDN w:val="0"/>
        <w:spacing w:line="240" w:lineRule="auto"/>
        <w:ind w:leftChars="300" w:left="624" w:firstLineChars="100" w:firstLine="240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2025年日本国際博覧会（大阪・関西万博）を一過性のものとせず、そのインパクトを最大限に活かし、「大阪の持続的な成長」と「府民の豊かな暮らし」を確たるものにするとともに、万博開催都市としてＳＤＧｓの達成に向けて世界とともに未来をつくっていくために、大阪がめざす将来像を描き、将来像を実現するための取組方向を示す「万博のインパクトを活かした大阪の将来に向けたビジョン」を令和２年３月に策定した。</w:t>
      </w:r>
    </w:p>
    <w:p w:rsidR="005D1EB9" w:rsidRPr="0078295D" w:rsidRDefault="005D1EB9" w:rsidP="00AD7A8E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</w:p>
    <w:p w:rsidR="00060F1E" w:rsidRPr="0078295D" w:rsidRDefault="00060F1E" w:rsidP="00060F1E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t>２　「大阪の成長戦略」の推進</w:t>
      </w:r>
    </w:p>
    <w:p w:rsidR="00060F1E" w:rsidRPr="0078295D" w:rsidRDefault="00060F1E" w:rsidP="00060F1E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平成</w:t>
      </w:r>
      <w:r w:rsidRPr="0078295D">
        <w:rPr>
          <w:rFonts w:hAnsi="ＭＳ 明朝"/>
          <w:color w:val="000000" w:themeColor="text1"/>
          <w:spacing w:val="0"/>
          <w:sz w:val="24"/>
        </w:rPr>
        <w:t>22</w:t>
      </w:r>
      <w:r w:rsidRPr="0078295D">
        <w:rPr>
          <w:rFonts w:hAnsi="ＭＳ 明朝" w:hint="eastAsia"/>
          <w:color w:val="000000" w:themeColor="text1"/>
          <w:spacing w:val="0"/>
          <w:sz w:val="24"/>
        </w:rPr>
        <w:t>年</w:t>
      </w:r>
      <w:r w:rsidRPr="0078295D">
        <w:rPr>
          <w:rFonts w:hAnsi="ＭＳ 明朝"/>
          <w:color w:val="000000" w:themeColor="text1"/>
          <w:spacing w:val="0"/>
          <w:sz w:val="24"/>
        </w:rPr>
        <w:t>10</w:t>
      </w:r>
      <w:r w:rsidRPr="0078295D">
        <w:rPr>
          <w:rFonts w:hAnsi="ＭＳ 明朝" w:hint="eastAsia"/>
          <w:color w:val="000000" w:themeColor="text1"/>
          <w:spacing w:val="0"/>
          <w:sz w:val="24"/>
        </w:rPr>
        <w:t>月に策定した「大阪の成長戦略」を推進するため、成長目標の到達状況について評価・分析を行い、「データで見る大阪の成長戦略」を令和元年12月に取りまとめ、公表した。</w:t>
      </w:r>
    </w:p>
    <w:p w:rsidR="00AD7A8E" w:rsidRPr="0078295D" w:rsidRDefault="00AD7A8E" w:rsidP="00AD7A8E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</w:p>
    <w:p w:rsidR="00AD7A8E" w:rsidRPr="0078295D" w:rsidRDefault="00AD7A8E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>３　「大阪府強靭化地域計画」の推進</w:t>
      </w:r>
    </w:p>
    <w:p w:rsidR="00AD7A8E" w:rsidRPr="0078295D" w:rsidRDefault="00AD7A8E" w:rsidP="00BE2C06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「起きてはならない最悪の事態」の回避に向け、平成28年３月に策定した「大阪</w:t>
      </w:r>
      <w:r w:rsidR="00BE2C06" w:rsidRPr="0078295D">
        <w:rPr>
          <w:rFonts w:hAnsi="ＭＳ 明朝" w:hint="eastAsia"/>
          <w:color w:val="000000" w:themeColor="text1"/>
          <w:spacing w:val="0"/>
          <w:sz w:val="24"/>
        </w:rPr>
        <w:t>府強靭化地域計画」について、危機管理室と連携して進捗管理を</w:t>
      </w:r>
      <w:r w:rsidR="009C5ACF" w:rsidRPr="0078295D">
        <w:rPr>
          <w:rFonts w:hAnsi="ＭＳ 明朝" w:hint="eastAsia"/>
          <w:color w:val="000000" w:themeColor="text1"/>
          <w:spacing w:val="0"/>
          <w:sz w:val="24"/>
        </w:rPr>
        <w:t>行うとともに、国の国土強靭化基本計画の見直しや近年</w:t>
      </w:r>
      <w:r w:rsidR="00BE2C06" w:rsidRPr="0078295D">
        <w:rPr>
          <w:rFonts w:hAnsi="ＭＳ 明朝" w:hint="eastAsia"/>
          <w:color w:val="000000" w:themeColor="text1"/>
          <w:spacing w:val="0"/>
          <w:sz w:val="24"/>
        </w:rPr>
        <w:t>発生した災害の教訓等を踏まえ、令和２年３月に改訂し、公表した。</w:t>
      </w:r>
    </w:p>
    <w:p w:rsidR="00AD7A8E" w:rsidRPr="0078295D" w:rsidRDefault="00AD7A8E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</w:p>
    <w:p w:rsidR="00AD7A8E" w:rsidRPr="0078295D" w:rsidRDefault="005D1EB9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>４</w:t>
      </w:r>
      <w:r w:rsidR="00AD7A8E"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 xml:space="preserve">　「ＳＤＧｓ」の推進</w:t>
      </w:r>
    </w:p>
    <w:p w:rsidR="00B16C82" w:rsidRPr="0078295D" w:rsidRDefault="00AD7A8E" w:rsidP="00B16C82">
      <w:pPr>
        <w:autoSpaceDE w:val="0"/>
        <w:autoSpaceDN w:val="0"/>
        <w:spacing w:line="240" w:lineRule="auto"/>
        <w:ind w:left="482" w:hangingChars="200" w:hanging="482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 xml:space="preserve">　　　</w:t>
      </w:r>
      <w:r w:rsidR="00B16C82" w:rsidRPr="0078295D">
        <w:rPr>
          <w:rFonts w:asciiTheme="minorEastAsia" w:eastAsiaTheme="minorEastAsia" w:hAnsiTheme="minorEastAsia" w:hint="eastAsia"/>
          <w:bCs/>
          <w:color w:val="000000" w:themeColor="text1"/>
          <w:spacing w:val="0"/>
          <w:sz w:val="24"/>
          <w:szCs w:val="24"/>
        </w:rPr>
        <w:t>知事を本部長とする</w:t>
      </w:r>
      <w:r w:rsidR="00B16C82" w:rsidRPr="0078295D">
        <w:rPr>
          <w:rFonts w:hAnsi="ＭＳ 明朝" w:hint="eastAsia"/>
          <w:color w:val="000000" w:themeColor="text1"/>
          <w:spacing w:val="0"/>
          <w:sz w:val="24"/>
        </w:rPr>
        <w:t>「大阪府SDGs推進本部」のもと、各部局の取組を通じてSDGsの推進を図るとともに、民間と連携したフォーラムや市町村ワークショップ等を開催し、SDGsの理解促進を進めた。</w:t>
      </w:r>
    </w:p>
    <w:p w:rsidR="00AD7A8E" w:rsidRPr="0078295D" w:rsidRDefault="00B16C82" w:rsidP="00B16C82">
      <w:pPr>
        <w:autoSpaceDE w:val="0"/>
        <w:autoSpaceDN w:val="0"/>
        <w:spacing w:line="240" w:lineRule="auto"/>
        <w:ind w:leftChars="200" w:left="416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また、「SDGs先進都市」の実現に向け、オール大阪でSDGsの新たな取組の創出を図ることを目的に、令和２年３月に「Osaka SDGs ビジョン」を策定した。</w:t>
      </w:r>
    </w:p>
    <w:p w:rsidR="00AD7A8E" w:rsidRPr="0078295D" w:rsidRDefault="00AD7A8E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</w:p>
    <w:p w:rsidR="00AD7A8E" w:rsidRPr="0078295D" w:rsidRDefault="005D1EB9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>５</w:t>
      </w:r>
      <w:r w:rsidR="00AD7A8E"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 xml:space="preserve">　「府政運営の基本方針」の公表</w:t>
      </w:r>
    </w:p>
    <w:p w:rsidR="00600BBC" w:rsidRPr="0078295D" w:rsidRDefault="00C207A5" w:rsidP="00970E86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大阪府が目指す将来像の実現に向け、令和２年度の府の政策課題や予算編成、組織人員体制など全庁統一の視点による基本方針を明らかにする「府政運営の基本方針2020」を令和２年２月に策定し、公表した。</w:t>
      </w:r>
    </w:p>
    <w:p w:rsidR="00C207A5" w:rsidRPr="0078295D" w:rsidRDefault="00C207A5" w:rsidP="00970E86">
      <w:pPr>
        <w:autoSpaceDE w:val="0"/>
        <w:autoSpaceDN w:val="0"/>
        <w:spacing w:line="240" w:lineRule="auto"/>
        <w:ind w:leftChars="250" w:left="520" w:firstLineChars="100" w:firstLine="240"/>
        <w:rPr>
          <w:rFonts w:asciiTheme="minorEastAsia" w:eastAsiaTheme="minorEastAsia" w:hAnsiTheme="minorEastAsia"/>
          <w:bCs/>
          <w:color w:val="000000" w:themeColor="text1"/>
          <w:spacing w:val="0"/>
          <w:sz w:val="24"/>
          <w:szCs w:val="24"/>
        </w:rPr>
      </w:pPr>
    </w:p>
    <w:p w:rsidR="00AD7A8E" w:rsidRPr="0078295D" w:rsidRDefault="005D1EB9" w:rsidP="00AD7A8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>６</w:t>
      </w:r>
      <w:r w:rsidR="00AD7A8E" w:rsidRPr="0078295D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 xml:space="preserve">　「部局運営方針」の公表</w:t>
      </w:r>
    </w:p>
    <w:p w:rsidR="00AD7A8E" w:rsidRPr="0078295D" w:rsidRDefault="00C207A5" w:rsidP="00C207A5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「府政運営の基本方針」に基づく各部局の取組みをＰＤＣＡサイクルのもと着実に推進するため、平成30年度の取組みを点検、評価したもの及び令和元年度にめざすべき目標等について「部局運営方針」として取りまとめ、公表した。</w:t>
      </w:r>
    </w:p>
    <w:p w:rsidR="0078295D" w:rsidRPr="0078295D" w:rsidRDefault="0078295D" w:rsidP="00C207A5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78295D" w:rsidRPr="0078295D" w:rsidRDefault="0078295D" w:rsidP="00C207A5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AD7A8E" w:rsidRPr="0078295D" w:rsidRDefault="005D1EB9" w:rsidP="00AD7A8E">
      <w:pPr>
        <w:tabs>
          <w:tab w:val="left" w:pos="360"/>
        </w:tabs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lastRenderedPageBreak/>
        <w:t>７</w:t>
      </w:r>
      <w:r w:rsidR="00AD7A8E"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t xml:space="preserve">　総合調査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社会・経済の動向を的確に把握し、中長期的な展望のもとに府政の重要な計画・構想の立案等を行うための基礎調査として、以下の調査を実施　した。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250" w:left="520" w:firstLineChars="100" w:firstLine="240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</w:p>
    <w:p w:rsidR="00C207A5" w:rsidRPr="0078295D" w:rsidRDefault="00C207A5" w:rsidP="00C207A5">
      <w:pPr>
        <w:autoSpaceDE w:val="0"/>
        <w:autoSpaceDN w:val="0"/>
        <w:spacing w:line="240" w:lineRule="auto"/>
        <w:ind w:firstLineChars="225" w:firstLine="540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○過去３ヶ年の予算額と決算額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2"/>
        <w:gridCol w:w="1949"/>
        <w:gridCol w:w="1950"/>
        <w:gridCol w:w="1947"/>
      </w:tblGrid>
      <w:tr w:rsidR="0078295D" w:rsidRPr="0078295D" w:rsidTr="00F8181C">
        <w:trPr>
          <w:trHeight w:val="34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（委託料）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予算額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決算額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備考</w:t>
            </w:r>
          </w:p>
        </w:tc>
      </w:tr>
      <w:tr w:rsidR="0078295D" w:rsidRPr="0078295D" w:rsidTr="00F8181C">
        <w:trPr>
          <w:trHeight w:val="34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平成29年度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16,536千円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12,050千円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5,599千円</w:t>
            </w:r>
          </w:p>
        </w:tc>
      </w:tr>
      <w:tr w:rsidR="0078295D" w:rsidRPr="0078295D" w:rsidTr="00F8181C">
        <w:trPr>
          <w:trHeight w:val="34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平成</w:t>
            </w:r>
            <w:r w:rsidRPr="0078295D"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  <w:t>30</w:t>
            </w: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16,536千円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5,082千円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1,723千円</w:t>
            </w:r>
          </w:p>
        </w:tc>
      </w:tr>
      <w:tr w:rsidR="0078295D" w:rsidRPr="0078295D" w:rsidTr="00F8181C">
        <w:trPr>
          <w:trHeight w:val="34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令和元年度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15,133千円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12,752千円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9,314千円</w:t>
            </w:r>
          </w:p>
        </w:tc>
      </w:tr>
    </w:tbl>
    <w:p w:rsidR="00C207A5" w:rsidRPr="0078295D" w:rsidRDefault="00C207A5" w:rsidP="00C207A5">
      <w:pPr>
        <w:autoSpaceDE w:val="0"/>
        <w:autoSpaceDN w:val="0"/>
        <w:spacing w:line="240" w:lineRule="auto"/>
        <w:ind w:leftChars="110" w:left="229" w:firstLineChars="100" w:firstLine="240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　※備考欄は、決算額の内、他所属配当し、執行した額。</w:t>
      </w:r>
    </w:p>
    <w:p w:rsidR="00C207A5" w:rsidRPr="0078295D" w:rsidRDefault="00C207A5" w:rsidP="00C207A5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strike/>
          <w:color w:val="000000" w:themeColor="text1"/>
          <w:spacing w:val="0"/>
          <w:sz w:val="24"/>
          <w:szCs w:val="24"/>
        </w:rPr>
      </w:pPr>
    </w:p>
    <w:p w:rsidR="00C207A5" w:rsidRPr="0078295D" w:rsidRDefault="00C207A5" w:rsidP="00C207A5">
      <w:pPr>
        <w:autoSpaceDE w:val="0"/>
        <w:autoSpaceDN w:val="0"/>
        <w:spacing w:line="24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○主な調査事業　　　　　　　　　　　　　　　　　　　　　　　　　</w:t>
      </w:r>
    </w:p>
    <w:tbl>
      <w:tblPr>
        <w:tblW w:w="7956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144"/>
        <w:gridCol w:w="2808"/>
      </w:tblGrid>
      <w:tr w:rsidR="0078295D" w:rsidRPr="0078295D" w:rsidTr="00F8181C">
        <w:trPr>
          <w:trHeight w:val="2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事業名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支払先</w:t>
            </w:r>
          </w:p>
        </w:tc>
      </w:tr>
      <w:tr w:rsidR="0078295D" w:rsidRPr="0078295D" w:rsidTr="00F8181C">
        <w:trPr>
          <w:trHeight w:val="2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0"/>
                <w:sz w:val="24"/>
                <w:szCs w:val="24"/>
              </w:rPr>
              <w:t>「万博のインパクトを活かした大阪の将来に向けたビジョン」の策定に向けた支援業務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ind w:leftChars="-42" w:left="-87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944千円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0"/>
                <w:sz w:val="24"/>
                <w:szCs w:val="24"/>
              </w:rPr>
              <w:t>ダン計画研究所</w:t>
            </w:r>
          </w:p>
        </w:tc>
      </w:tr>
      <w:tr w:rsidR="00C207A5" w:rsidRPr="0078295D" w:rsidTr="00F8181C">
        <w:trPr>
          <w:trHeight w:val="2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0"/>
                <w:sz w:val="24"/>
                <w:szCs w:val="24"/>
              </w:rPr>
              <w:t>「大阪の成長戦略」振り返りに関する調査分析業務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ind w:leftChars="-42" w:left="-87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4"/>
                <w:szCs w:val="24"/>
              </w:rPr>
              <w:t>999千円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0"/>
                <w:sz w:val="24"/>
                <w:szCs w:val="24"/>
              </w:rPr>
              <w:t>一般財団法人</w:t>
            </w:r>
          </w:p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 w:themeColor="text1"/>
                <w:spacing w:val="-4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0"/>
                <w:sz w:val="24"/>
                <w:szCs w:val="24"/>
              </w:rPr>
              <w:t>アジア太平洋研究所</w:t>
            </w:r>
          </w:p>
        </w:tc>
      </w:tr>
    </w:tbl>
    <w:p w:rsidR="00AD7A8E" w:rsidRPr="0078295D" w:rsidRDefault="00AD7A8E" w:rsidP="00AD7A8E">
      <w:pPr>
        <w:widowControl/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</w:p>
    <w:p w:rsidR="00AD7A8E" w:rsidRPr="0078295D" w:rsidRDefault="005D1EB9" w:rsidP="00AD7A8E">
      <w:pPr>
        <w:tabs>
          <w:tab w:val="left" w:pos="360"/>
        </w:tabs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t>８</w:t>
      </w:r>
      <w:r w:rsidR="00AD7A8E" w:rsidRPr="0078295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4"/>
          <w:szCs w:val="24"/>
        </w:rPr>
        <w:t xml:space="preserve">　政策マーケティング・リサーチ　</w:t>
      </w:r>
    </w:p>
    <w:p w:rsidR="00C207A5" w:rsidRPr="0078295D" w:rsidRDefault="00AD7A8E" w:rsidP="00C207A5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（</w:t>
      </w:r>
      <w:r w:rsidR="00C207A5" w:rsidRPr="0078295D">
        <w:rPr>
          <w:rFonts w:hAnsi="ＭＳ 明朝" w:hint="eastAsia"/>
          <w:color w:val="000000" w:themeColor="text1"/>
          <w:spacing w:val="0"/>
          <w:sz w:val="24"/>
        </w:rPr>
        <w:t>１）庁内への普及啓発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職員研修を通じて、庁内への政策マーケティング・リサーチの普及啓発に努めた。</w:t>
      </w:r>
    </w:p>
    <w:p w:rsidR="00C207A5" w:rsidRPr="0078295D" w:rsidRDefault="00C207A5" w:rsidP="00C207A5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令和元年５月　　　　政策マーケティング・リサーチ実務者研修</w:t>
      </w:r>
    </w:p>
    <w:p w:rsidR="00C207A5" w:rsidRPr="0078295D" w:rsidRDefault="00C207A5" w:rsidP="00C207A5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 xml:space="preserve">　　　　６月～７月　令和元年度主事・技師級研修Ⅲ（全体講義）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また、庁内ウェブページの専用サイトにおいて、ガイドラインその他リサーチに関する参考情報を掲載するなど、全庁各部局への情報提供を行った。</w:t>
      </w:r>
    </w:p>
    <w:p w:rsidR="00912606" w:rsidRPr="0078295D" w:rsidRDefault="00912606" w:rsidP="00C207A5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C207A5" w:rsidRPr="0078295D" w:rsidRDefault="00C207A5" w:rsidP="00C207A5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（２）部局へのアドバイス及びデータ収集支援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各部局からのリサーチ案件の相談に対し、民間のデータベースの活用なども行いながら、リサーチプランの設計等に関するアドバイスを実施した。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652"/>
        <w:gridCol w:w="2262"/>
      </w:tblGrid>
      <w:tr w:rsidR="0078295D" w:rsidRPr="0078295D" w:rsidTr="00F8181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事業名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支払先</w:t>
            </w:r>
          </w:p>
        </w:tc>
      </w:tr>
      <w:tr w:rsidR="00C207A5" w:rsidRPr="0078295D" w:rsidTr="00F8181C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文献調査など既存の公表データの収集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756千円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株式会社日本能率協会総合研究所</w:t>
            </w:r>
          </w:p>
        </w:tc>
      </w:tr>
    </w:tbl>
    <w:p w:rsidR="00C207A5" w:rsidRPr="0078295D" w:rsidRDefault="00C207A5" w:rsidP="00C207A5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Cs/>
          <w:color w:val="000000" w:themeColor="text1"/>
          <w:spacing w:val="0"/>
          <w:sz w:val="24"/>
          <w:szCs w:val="24"/>
        </w:rPr>
      </w:pPr>
    </w:p>
    <w:p w:rsidR="00C207A5" w:rsidRPr="0078295D" w:rsidRDefault="00C207A5" w:rsidP="00C207A5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Cs/>
          <w:color w:val="000000" w:themeColor="text1"/>
          <w:spacing w:val="0"/>
          <w:sz w:val="24"/>
          <w:szCs w:val="24"/>
        </w:rPr>
      </w:pPr>
      <w:r w:rsidRPr="0078295D">
        <w:rPr>
          <w:rFonts w:asciiTheme="minorEastAsia" w:eastAsiaTheme="minorEastAsia" w:hAnsiTheme="minorEastAsia" w:hint="eastAsia"/>
          <w:bCs/>
          <w:color w:val="000000" w:themeColor="text1"/>
          <w:spacing w:val="0"/>
          <w:sz w:val="24"/>
          <w:szCs w:val="24"/>
        </w:rPr>
        <w:t>（３）政策マーケティング・リサーチ「おおさかＱネット」の運用</w:t>
      </w:r>
    </w:p>
    <w:p w:rsidR="00C207A5" w:rsidRPr="0078295D" w:rsidRDefault="00C207A5" w:rsidP="00C207A5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府民ニーズをスピーディに把握し、施策の企画立案等に活かせるよう、民間調査会社のモニターを活用した、インターネットによる府民アンケートを実施。年間26件のアンケート調査を行い、それらの分析結果を</w:t>
      </w:r>
      <w:r w:rsidRPr="0078295D">
        <w:rPr>
          <w:rFonts w:hAnsi="ＭＳ 明朝" w:hint="eastAsia"/>
          <w:color w:val="000000" w:themeColor="text1"/>
          <w:spacing w:val="0"/>
          <w:sz w:val="24"/>
        </w:rPr>
        <w:lastRenderedPageBreak/>
        <w:t>各部局にフィードバックするともに、ホームページでも公開した。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1741"/>
        <w:gridCol w:w="2262"/>
      </w:tblGrid>
      <w:tr w:rsidR="0078295D" w:rsidRPr="0078295D" w:rsidTr="00F8181C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事業名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支払先</w:t>
            </w:r>
          </w:p>
        </w:tc>
      </w:tr>
      <w:tr w:rsidR="0078295D" w:rsidRPr="0078295D" w:rsidTr="00F8181C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大阪府政策マーケティング・　リサーチ「おおさかＱネット」アンケート実査業務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3,890千円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楽天インサイト</w:t>
            </w:r>
          </w:p>
          <w:p w:rsidR="00C207A5" w:rsidRPr="0078295D" w:rsidRDefault="00C207A5" w:rsidP="00F8181C">
            <w:pPr>
              <w:autoSpaceDE w:val="0"/>
              <w:autoSpaceDN w:val="0"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  <w:sz w:val="24"/>
                <w:szCs w:val="24"/>
              </w:rPr>
            </w:pPr>
            <w:r w:rsidRPr="0078295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0"/>
                <w:sz w:val="24"/>
                <w:szCs w:val="24"/>
              </w:rPr>
              <w:t>株式会社</w:t>
            </w:r>
          </w:p>
        </w:tc>
      </w:tr>
    </w:tbl>
    <w:p w:rsidR="007161F9" w:rsidRDefault="007161F9" w:rsidP="00C207A5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8"/>
          <w:szCs w:val="28"/>
        </w:rPr>
      </w:pPr>
      <w:bookmarkStart w:id="0" w:name="_GoBack"/>
      <w:bookmarkEnd w:id="0"/>
    </w:p>
    <w:sectPr w:rsidR="007161F9" w:rsidSect="00970E86">
      <w:footerReference w:type="even" r:id="rId11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2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99" w:rsidRDefault="009A3C99">
      <w:r>
        <w:separator/>
      </w:r>
    </w:p>
  </w:endnote>
  <w:endnote w:type="continuationSeparator" w:id="0">
    <w:p w:rsidR="009A3C99" w:rsidRDefault="009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2" w:rsidRDefault="00BA5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E52">
      <w:rPr>
        <w:rStyle w:val="a7"/>
        <w:noProof/>
      </w:rPr>
      <w:t>11</w:t>
    </w:r>
    <w:r>
      <w:rPr>
        <w:rStyle w:val="a7"/>
      </w:rPr>
      <w:fldChar w:fldCharType="end"/>
    </w:r>
  </w:p>
  <w:p w:rsidR="00BA5F02" w:rsidRDefault="00BA5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99" w:rsidRDefault="009A3C99">
      <w:r>
        <w:separator/>
      </w:r>
    </w:p>
  </w:footnote>
  <w:footnote w:type="continuationSeparator" w:id="0">
    <w:p w:rsidR="009A3C99" w:rsidRDefault="009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9640D7"/>
    <w:multiLevelType w:val="hybridMultilevel"/>
    <w:tmpl w:val="07BCF406"/>
    <w:lvl w:ilvl="0" w:tplc="91FA918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8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3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3"/>
  </w:num>
  <w:num w:numId="5">
    <w:abstractNumId w:val="10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6"/>
  </w:num>
  <w:num w:numId="18">
    <w:abstractNumId w:val="5"/>
  </w:num>
  <w:num w:numId="19">
    <w:abstractNumId w:val="20"/>
  </w:num>
  <w:num w:numId="20">
    <w:abstractNumId w:val="7"/>
  </w:num>
  <w:num w:numId="21">
    <w:abstractNumId w:val="4"/>
  </w:num>
  <w:num w:numId="22">
    <w:abstractNumId w:val="16"/>
  </w:num>
  <w:num w:numId="23">
    <w:abstractNumId w:val="15"/>
  </w:num>
  <w:num w:numId="24">
    <w:abstractNumId w:val="31"/>
  </w:num>
  <w:num w:numId="25">
    <w:abstractNumId w:val="1"/>
  </w:num>
  <w:num w:numId="26">
    <w:abstractNumId w:val="21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1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326C"/>
    <w:rsid w:val="00013FBC"/>
    <w:rsid w:val="00014728"/>
    <w:rsid w:val="00022245"/>
    <w:rsid w:val="000226E0"/>
    <w:rsid w:val="00037F43"/>
    <w:rsid w:val="000414E9"/>
    <w:rsid w:val="00045905"/>
    <w:rsid w:val="00045DD6"/>
    <w:rsid w:val="00060F1E"/>
    <w:rsid w:val="000632E4"/>
    <w:rsid w:val="00072049"/>
    <w:rsid w:val="00075645"/>
    <w:rsid w:val="0008030A"/>
    <w:rsid w:val="00080EEF"/>
    <w:rsid w:val="00082FED"/>
    <w:rsid w:val="0008319F"/>
    <w:rsid w:val="00085F02"/>
    <w:rsid w:val="00092BFF"/>
    <w:rsid w:val="00093EFC"/>
    <w:rsid w:val="00095CF3"/>
    <w:rsid w:val="00096A48"/>
    <w:rsid w:val="00097C07"/>
    <w:rsid w:val="000A28F7"/>
    <w:rsid w:val="000A43E6"/>
    <w:rsid w:val="000A5FFF"/>
    <w:rsid w:val="000A7F69"/>
    <w:rsid w:val="000B388B"/>
    <w:rsid w:val="000C1F93"/>
    <w:rsid w:val="000C2480"/>
    <w:rsid w:val="000C2C99"/>
    <w:rsid w:val="000C6873"/>
    <w:rsid w:val="000C6B4B"/>
    <w:rsid w:val="000D2945"/>
    <w:rsid w:val="000D3C05"/>
    <w:rsid w:val="000D3C82"/>
    <w:rsid w:val="000D531E"/>
    <w:rsid w:val="000E4C98"/>
    <w:rsid w:val="000E7726"/>
    <w:rsid w:val="000F07AB"/>
    <w:rsid w:val="000F269F"/>
    <w:rsid w:val="000F4416"/>
    <w:rsid w:val="000F5113"/>
    <w:rsid w:val="001014AB"/>
    <w:rsid w:val="00107834"/>
    <w:rsid w:val="00110180"/>
    <w:rsid w:val="001123F3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1D82"/>
    <w:rsid w:val="00143AEC"/>
    <w:rsid w:val="00144372"/>
    <w:rsid w:val="00146EB5"/>
    <w:rsid w:val="00161159"/>
    <w:rsid w:val="00161743"/>
    <w:rsid w:val="00164004"/>
    <w:rsid w:val="001658D8"/>
    <w:rsid w:val="00166913"/>
    <w:rsid w:val="00167228"/>
    <w:rsid w:val="00167D59"/>
    <w:rsid w:val="001716C0"/>
    <w:rsid w:val="00172362"/>
    <w:rsid w:val="00173E25"/>
    <w:rsid w:val="00177AA4"/>
    <w:rsid w:val="00185D4D"/>
    <w:rsid w:val="001869DC"/>
    <w:rsid w:val="0019006B"/>
    <w:rsid w:val="00190468"/>
    <w:rsid w:val="00190508"/>
    <w:rsid w:val="00193F62"/>
    <w:rsid w:val="00195F7D"/>
    <w:rsid w:val="001A0A1D"/>
    <w:rsid w:val="001A0F1B"/>
    <w:rsid w:val="001A139B"/>
    <w:rsid w:val="001A4637"/>
    <w:rsid w:val="001B5294"/>
    <w:rsid w:val="001B541E"/>
    <w:rsid w:val="001C1052"/>
    <w:rsid w:val="001C122B"/>
    <w:rsid w:val="001C13A8"/>
    <w:rsid w:val="001C2825"/>
    <w:rsid w:val="001D1BB1"/>
    <w:rsid w:val="001D6690"/>
    <w:rsid w:val="001E04C1"/>
    <w:rsid w:val="001E49AF"/>
    <w:rsid w:val="001E5D4C"/>
    <w:rsid w:val="001E79F9"/>
    <w:rsid w:val="001F3201"/>
    <w:rsid w:val="001F61A6"/>
    <w:rsid w:val="00202800"/>
    <w:rsid w:val="002049D0"/>
    <w:rsid w:val="0020787B"/>
    <w:rsid w:val="002116D8"/>
    <w:rsid w:val="00215019"/>
    <w:rsid w:val="0021542A"/>
    <w:rsid w:val="002164FE"/>
    <w:rsid w:val="00217BA4"/>
    <w:rsid w:val="00221DA3"/>
    <w:rsid w:val="00226302"/>
    <w:rsid w:val="002268FE"/>
    <w:rsid w:val="00227312"/>
    <w:rsid w:val="00231943"/>
    <w:rsid w:val="002400F5"/>
    <w:rsid w:val="00240507"/>
    <w:rsid w:val="00243F03"/>
    <w:rsid w:val="002453FC"/>
    <w:rsid w:val="00245D1F"/>
    <w:rsid w:val="00253CD5"/>
    <w:rsid w:val="002620AF"/>
    <w:rsid w:val="002621EE"/>
    <w:rsid w:val="002647C2"/>
    <w:rsid w:val="00265987"/>
    <w:rsid w:val="00267936"/>
    <w:rsid w:val="00280DB4"/>
    <w:rsid w:val="00283076"/>
    <w:rsid w:val="00287451"/>
    <w:rsid w:val="00295221"/>
    <w:rsid w:val="00297C58"/>
    <w:rsid w:val="002A28C1"/>
    <w:rsid w:val="002A612D"/>
    <w:rsid w:val="002A6396"/>
    <w:rsid w:val="002B1A2C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4B6E"/>
    <w:rsid w:val="002E522A"/>
    <w:rsid w:val="002E7F99"/>
    <w:rsid w:val="002F1BA4"/>
    <w:rsid w:val="002F32F5"/>
    <w:rsid w:val="002F330B"/>
    <w:rsid w:val="0030602D"/>
    <w:rsid w:val="003061B5"/>
    <w:rsid w:val="00306933"/>
    <w:rsid w:val="00306C37"/>
    <w:rsid w:val="00307086"/>
    <w:rsid w:val="003129EE"/>
    <w:rsid w:val="00312B2A"/>
    <w:rsid w:val="0031629C"/>
    <w:rsid w:val="00323DC3"/>
    <w:rsid w:val="00331B09"/>
    <w:rsid w:val="00332EF6"/>
    <w:rsid w:val="003377C0"/>
    <w:rsid w:val="0034286E"/>
    <w:rsid w:val="003448B9"/>
    <w:rsid w:val="0035012E"/>
    <w:rsid w:val="00353A2B"/>
    <w:rsid w:val="00355170"/>
    <w:rsid w:val="0035718E"/>
    <w:rsid w:val="003610FB"/>
    <w:rsid w:val="00362864"/>
    <w:rsid w:val="00364C99"/>
    <w:rsid w:val="00366359"/>
    <w:rsid w:val="00367F42"/>
    <w:rsid w:val="00370094"/>
    <w:rsid w:val="0037031A"/>
    <w:rsid w:val="00374A25"/>
    <w:rsid w:val="003753EB"/>
    <w:rsid w:val="00383A7C"/>
    <w:rsid w:val="00393ADD"/>
    <w:rsid w:val="003963D4"/>
    <w:rsid w:val="003A49A7"/>
    <w:rsid w:val="003B03BB"/>
    <w:rsid w:val="003B2625"/>
    <w:rsid w:val="003B27F3"/>
    <w:rsid w:val="003B36F9"/>
    <w:rsid w:val="003B4A40"/>
    <w:rsid w:val="003B4A47"/>
    <w:rsid w:val="003B4C6F"/>
    <w:rsid w:val="003B5FEE"/>
    <w:rsid w:val="003B6D00"/>
    <w:rsid w:val="003C1CD3"/>
    <w:rsid w:val="003D1F05"/>
    <w:rsid w:val="003D2352"/>
    <w:rsid w:val="003D517B"/>
    <w:rsid w:val="003D5F00"/>
    <w:rsid w:val="003D67AF"/>
    <w:rsid w:val="003D778A"/>
    <w:rsid w:val="003E5BEC"/>
    <w:rsid w:val="003F6EBD"/>
    <w:rsid w:val="0040044D"/>
    <w:rsid w:val="00400AC5"/>
    <w:rsid w:val="00401554"/>
    <w:rsid w:val="00401C1D"/>
    <w:rsid w:val="004075D4"/>
    <w:rsid w:val="0041111A"/>
    <w:rsid w:val="00412EF0"/>
    <w:rsid w:val="00420687"/>
    <w:rsid w:val="00422EEF"/>
    <w:rsid w:val="004235DF"/>
    <w:rsid w:val="004272AC"/>
    <w:rsid w:val="004323BA"/>
    <w:rsid w:val="00442B42"/>
    <w:rsid w:val="00444D82"/>
    <w:rsid w:val="0045187D"/>
    <w:rsid w:val="004536C0"/>
    <w:rsid w:val="00456CB2"/>
    <w:rsid w:val="00466525"/>
    <w:rsid w:val="00481AF2"/>
    <w:rsid w:val="00481DA6"/>
    <w:rsid w:val="00487BD0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4CA2"/>
    <w:rsid w:val="004B64AF"/>
    <w:rsid w:val="004C0370"/>
    <w:rsid w:val="004C196F"/>
    <w:rsid w:val="004C2D7C"/>
    <w:rsid w:val="004C4CAB"/>
    <w:rsid w:val="004D16DB"/>
    <w:rsid w:val="004D2719"/>
    <w:rsid w:val="004D5AA9"/>
    <w:rsid w:val="004D6821"/>
    <w:rsid w:val="004E7B06"/>
    <w:rsid w:val="004F0784"/>
    <w:rsid w:val="004F1DEC"/>
    <w:rsid w:val="004F330B"/>
    <w:rsid w:val="004F4DCA"/>
    <w:rsid w:val="005020F6"/>
    <w:rsid w:val="00503691"/>
    <w:rsid w:val="00504C50"/>
    <w:rsid w:val="0050715E"/>
    <w:rsid w:val="00517DB9"/>
    <w:rsid w:val="00521E84"/>
    <w:rsid w:val="00526875"/>
    <w:rsid w:val="00527735"/>
    <w:rsid w:val="00527E4C"/>
    <w:rsid w:val="0053068C"/>
    <w:rsid w:val="005311BC"/>
    <w:rsid w:val="0053263F"/>
    <w:rsid w:val="00533382"/>
    <w:rsid w:val="00534C6E"/>
    <w:rsid w:val="00542E91"/>
    <w:rsid w:val="00547421"/>
    <w:rsid w:val="005474B1"/>
    <w:rsid w:val="0055360E"/>
    <w:rsid w:val="00564B59"/>
    <w:rsid w:val="00567166"/>
    <w:rsid w:val="005671A1"/>
    <w:rsid w:val="00572C26"/>
    <w:rsid w:val="005735A2"/>
    <w:rsid w:val="0057642A"/>
    <w:rsid w:val="00577D87"/>
    <w:rsid w:val="00577E52"/>
    <w:rsid w:val="005843AC"/>
    <w:rsid w:val="00585201"/>
    <w:rsid w:val="00586B2C"/>
    <w:rsid w:val="00590AAD"/>
    <w:rsid w:val="00596CC3"/>
    <w:rsid w:val="005B34D9"/>
    <w:rsid w:val="005C0573"/>
    <w:rsid w:val="005C4C01"/>
    <w:rsid w:val="005C5861"/>
    <w:rsid w:val="005C6387"/>
    <w:rsid w:val="005D1EB9"/>
    <w:rsid w:val="005D32C6"/>
    <w:rsid w:val="005D4174"/>
    <w:rsid w:val="005E3534"/>
    <w:rsid w:val="005E5C8C"/>
    <w:rsid w:val="005E6B5C"/>
    <w:rsid w:val="005E6C1D"/>
    <w:rsid w:val="005F1BAC"/>
    <w:rsid w:val="005F690E"/>
    <w:rsid w:val="005F7B5F"/>
    <w:rsid w:val="00600BBC"/>
    <w:rsid w:val="0060311A"/>
    <w:rsid w:val="00603FCA"/>
    <w:rsid w:val="006119CD"/>
    <w:rsid w:val="00611EA3"/>
    <w:rsid w:val="00614E81"/>
    <w:rsid w:val="00616DAA"/>
    <w:rsid w:val="00621CDB"/>
    <w:rsid w:val="00622C05"/>
    <w:rsid w:val="006232C8"/>
    <w:rsid w:val="00644A61"/>
    <w:rsid w:val="00646291"/>
    <w:rsid w:val="0066202F"/>
    <w:rsid w:val="006620B9"/>
    <w:rsid w:val="00674A26"/>
    <w:rsid w:val="006760DC"/>
    <w:rsid w:val="006765F0"/>
    <w:rsid w:val="00677D10"/>
    <w:rsid w:val="00682EF8"/>
    <w:rsid w:val="006856CF"/>
    <w:rsid w:val="00690B1C"/>
    <w:rsid w:val="00690F16"/>
    <w:rsid w:val="00693D09"/>
    <w:rsid w:val="00696617"/>
    <w:rsid w:val="0069671D"/>
    <w:rsid w:val="006A26AA"/>
    <w:rsid w:val="006A61C0"/>
    <w:rsid w:val="006A6D31"/>
    <w:rsid w:val="006B06B7"/>
    <w:rsid w:val="006C2305"/>
    <w:rsid w:val="006C24AD"/>
    <w:rsid w:val="006C3DD5"/>
    <w:rsid w:val="006D15CA"/>
    <w:rsid w:val="006D31C2"/>
    <w:rsid w:val="006D43D1"/>
    <w:rsid w:val="006D549F"/>
    <w:rsid w:val="006D63E1"/>
    <w:rsid w:val="006D6E49"/>
    <w:rsid w:val="006E5B03"/>
    <w:rsid w:val="006F080B"/>
    <w:rsid w:val="006F1EC7"/>
    <w:rsid w:val="006F22F5"/>
    <w:rsid w:val="00700B0F"/>
    <w:rsid w:val="00700F98"/>
    <w:rsid w:val="00710AFA"/>
    <w:rsid w:val="00712CB3"/>
    <w:rsid w:val="0071504B"/>
    <w:rsid w:val="007161F9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3327C"/>
    <w:rsid w:val="0074044F"/>
    <w:rsid w:val="007404CF"/>
    <w:rsid w:val="00743BE9"/>
    <w:rsid w:val="0074762C"/>
    <w:rsid w:val="00752B1F"/>
    <w:rsid w:val="00762A13"/>
    <w:rsid w:val="00770E0A"/>
    <w:rsid w:val="007710A1"/>
    <w:rsid w:val="007748F7"/>
    <w:rsid w:val="007757DE"/>
    <w:rsid w:val="00777B1A"/>
    <w:rsid w:val="00780B0F"/>
    <w:rsid w:val="007817C7"/>
    <w:rsid w:val="0078295D"/>
    <w:rsid w:val="00783330"/>
    <w:rsid w:val="0078355C"/>
    <w:rsid w:val="007951C7"/>
    <w:rsid w:val="0079692B"/>
    <w:rsid w:val="007A267B"/>
    <w:rsid w:val="007A3F67"/>
    <w:rsid w:val="007A58CE"/>
    <w:rsid w:val="007A7BDD"/>
    <w:rsid w:val="007B692D"/>
    <w:rsid w:val="007C461B"/>
    <w:rsid w:val="007C4BF2"/>
    <w:rsid w:val="007C6F43"/>
    <w:rsid w:val="007C7DBD"/>
    <w:rsid w:val="007D3378"/>
    <w:rsid w:val="007D3D40"/>
    <w:rsid w:val="007E2237"/>
    <w:rsid w:val="007E41B2"/>
    <w:rsid w:val="007E54B5"/>
    <w:rsid w:val="007E7322"/>
    <w:rsid w:val="007F4348"/>
    <w:rsid w:val="007F6B85"/>
    <w:rsid w:val="007F7073"/>
    <w:rsid w:val="00805FBB"/>
    <w:rsid w:val="00806840"/>
    <w:rsid w:val="00811395"/>
    <w:rsid w:val="008121D8"/>
    <w:rsid w:val="00812AF1"/>
    <w:rsid w:val="00815C67"/>
    <w:rsid w:val="00817312"/>
    <w:rsid w:val="00821E18"/>
    <w:rsid w:val="00824A8A"/>
    <w:rsid w:val="00827C0A"/>
    <w:rsid w:val="008334FF"/>
    <w:rsid w:val="008421D1"/>
    <w:rsid w:val="00843827"/>
    <w:rsid w:val="00846445"/>
    <w:rsid w:val="00850669"/>
    <w:rsid w:val="00856502"/>
    <w:rsid w:val="00857D40"/>
    <w:rsid w:val="008636A5"/>
    <w:rsid w:val="008659D8"/>
    <w:rsid w:val="0086732B"/>
    <w:rsid w:val="00874B0F"/>
    <w:rsid w:val="00875AFF"/>
    <w:rsid w:val="00876E5B"/>
    <w:rsid w:val="00881986"/>
    <w:rsid w:val="008846B4"/>
    <w:rsid w:val="00891135"/>
    <w:rsid w:val="00892FCD"/>
    <w:rsid w:val="0089359E"/>
    <w:rsid w:val="00896EC7"/>
    <w:rsid w:val="008A1E3A"/>
    <w:rsid w:val="008A25F6"/>
    <w:rsid w:val="008A3BDF"/>
    <w:rsid w:val="008A6EEE"/>
    <w:rsid w:val="008B06F9"/>
    <w:rsid w:val="008B46DC"/>
    <w:rsid w:val="008B5784"/>
    <w:rsid w:val="008B5F5C"/>
    <w:rsid w:val="008C60C9"/>
    <w:rsid w:val="008D7A09"/>
    <w:rsid w:val="008E1A59"/>
    <w:rsid w:val="008E2E60"/>
    <w:rsid w:val="008E75D3"/>
    <w:rsid w:val="008E7F81"/>
    <w:rsid w:val="008F0787"/>
    <w:rsid w:val="008F0BF8"/>
    <w:rsid w:val="008F0ED2"/>
    <w:rsid w:val="008F206F"/>
    <w:rsid w:val="008F2881"/>
    <w:rsid w:val="008F32B8"/>
    <w:rsid w:val="00904CD0"/>
    <w:rsid w:val="00906BA3"/>
    <w:rsid w:val="00907180"/>
    <w:rsid w:val="00907C1B"/>
    <w:rsid w:val="00912606"/>
    <w:rsid w:val="00913DF8"/>
    <w:rsid w:val="00915081"/>
    <w:rsid w:val="0091591D"/>
    <w:rsid w:val="00916B0C"/>
    <w:rsid w:val="00920963"/>
    <w:rsid w:val="00920D06"/>
    <w:rsid w:val="009229B8"/>
    <w:rsid w:val="0093154E"/>
    <w:rsid w:val="00931A08"/>
    <w:rsid w:val="00931F60"/>
    <w:rsid w:val="0093288B"/>
    <w:rsid w:val="00934CC4"/>
    <w:rsid w:val="00935A4C"/>
    <w:rsid w:val="00935AD9"/>
    <w:rsid w:val="00944F19"/>
    <w:rsid w:val="009457BC"/>
    <w:rsid w:val="00947E3A"/>
    <w:rsid w:val="009516A3"/>
    <w:rsid w:val="00951B86"/>
    <w:rsid w:val="0095246C"/>
    <w:rsid w:val="009525AE"/>
    <w:rsid w:val="009556ED"/>
    <w:rsid w:val="00957638"/>
    <w:rsid w:val="0095795D"/>
    <w:rsid w:val="00961590"/>
    <w:rsid w:val="00962038"/>
    <w:rsid w:val="00965597"/>
    <w:rsid w:val="00965612"/>
    <w:rsid w:val="00967468"/>
    <w:rsid w:val="00970E86"/>
    <w:rsid w:val="00971CFA"/>
    <w:rsid w:val="00975C0E"/>
    <w:rsid w:val="009778BB"/>
    <w:rsid w:val="00982838"/>
    <w:rsid w:val="009832EF"/>
    <w:rsid w:val="00986600"/>
    <w:rsid w:val="00994BA5"/>
    <w:rsid w:val="00996E39"/>
    <w:rsid w:val="00997FBD"/>
    <w:rsid w:val="009A1212"/>
    <w:rsid w:val="009A3C99"/>
    <w:rsid w:val="009A4B8B"/>
    <w:rsid w:val="009B23D0"/>
    <w:rsid w:val="009B2599"/>
    <w:rsid w:val="009B7C71"/>
    <w:rsid w:val="009C2D1D"/>
    <w:rsid w:val="009C409D"/>
    <w:rsid w:val="009C43B1"/>
    <w:rsid w:val="009C4E6F"/>
    <w:rsid w:val="009C56BE"/>
    <w:rsid w:val="009C5ACF"/>
    <w:rsid w:val="009C5F21"/>
    <w:rsid w:val="009D2C57"/>
    <w:rsid w:val="009D5ABE"/>
    <w:rsid w:val="009D76D1"/>
    <w:rsid w:val="009E5C73"/>
    <w:rsid w:val="009E6A9D"/>
    <w:rsid w:val="009E6AF3"/>
    <w:rsid w:val="009F063F"/>
    <w:rsid w:val="009F0B84"/>
    <w:rsid w:val="009F2AE2"/>
    <w:rsid w:val="009F5467"/>
    <w:rsid w:val="009F6004"/>
    <w:rsid w:val="009F7552"/>
    <w:rsid w:val="00A11918"/>
    <w:rsid w:val="00A13067"/>
    <w:rsid w:val="00A141B1"/>
    <w:rsid w:val="00A216BC"/>
    <w:rsid w:val="00A254EE"/>
    <w:rsid w:val="00A3069D"/>
    <w:rsid w:val="00A32D94"/>
    <w:rsid w:val="00A34A4C"/>
    <w:rsid w:val="00A361CF"/>
    <w:rsid w:val="00A408B8"/>
    <w:rsid w:val="00A4403E"/>
    <w:rsid w:val="00A450B0"/>
    <w:rsid w:val="00A45685"/>
    <w:rsid w:val="00A47A0F"/>
    <w:rsid w:val="00A47FCE"/>
    <w:rsid w:val="00A52986"/>
    <w:rsid w:val="00A54283"/>
    <w:rsid w:val="00A54EB6"/>
    <w:rsid w:val="00A556F6"/>
    <w:rsid w:val="00A6018B"/>
    <w:rsid w:val="00A624E8"/>
    <w:rsid w:val="00A62F21"/>
    <w:rsid w:val="00A65816"/>
    <w:rsid w:val="00A7276D"/>
    <w:rsid w:val="00A75F0C"/>
    <w:rsid w:val="00A81752"/>
    <w:rsid w:val="00A81A8A"/>
    <w:rsid w:val="00A8280E"/>
    <w:rsid w:val="00A83194"/>
    <w:rsid w:val="00A8432E"/>
    <w:rsid w:val="00A8495A"/>
    <w:rsid w:val="00A866A9"/>
    <w:rsid w:val="00A878B9"/>
    <w:rsid w:val="00A87CC9"/>
    <w:rsid w:val="00A923C3"/>
    <w:rsid w:val="00A9496E"/>
    <w:rsid w:val="00A96320"/>
    <w:rsid w:val="00AA29B0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D7A8E"/>
    <w:rsid w:val="00AE0E9D"/>
    <w:rsid w:val="00AE24F2"/>
    <w:rsid w:val="00AE728E"/>
    <w:rsid w:val="00AF0B45"/>
    <w:rsid w:val="00AF3CBD"/>
    <w:rsid w:val="00AF61A2"/>
    <w:rsid w:val="00B04804"/>
    <w:rsid w:val="00B05E83"/>
    <w:rsid w:val="00B11839"/>
    <w:rsid w:val="00B145F5"/>
    <w:rsid w:val="00B16C82"/>
    <w:rsid w:val="00B27B48"/>
    <w:rsid w:val="00B331EC"/>
    <w:rsid w:val="00B421CA"/>
    <w:rsid w:val="00B437F4"/>
    <w:rsid w:val="00B53118"/>
    <w:rsid w:val="00B635EE"/>
    <w:rsid w:val="00B6693B"/>
    <w:rsid w:val="00B73BAC"/>
    <w:rsid w:val="00B76A14"/>
    <w:rsid w:val="00B80151"/>
    <w:rsid w:val="00B87812"/>
    <w:rsid w:val="00B879FF"/>
    <w:rsid w:val="00B9016B"/>
    <w:rsid w:val="00BA4A27"/>
    <w:rsid w:val="00BA5F02"/>
    <w:rsid w:val="00BA75AA"/>
    <w:rsid w:val="00BA7F30"/>
    <w:rsid w:val="00BB1AD0"/>
    <w:rsid w:val="00BB3B0B"/>
    <w:rsid w:val="00BB3BBB"/>
    <w:rsid w:val="00BB4441"/>
    <w:rsid w:val="00BB55F2"/>
    <w:rsid w:val="00BC7CE7"/>
    <w:rsid w:val="00BD092E"/>
    <w:rsid w:val="00BD1192"/>
    <w:rsid w:val="00BD1E38"/>
    <w:rsid w:val="00BD3AA7"/>
    <w:rsid w:val="00BD58BF"/>
    <w:rsid w:val="00BD7B9E"/>
    <w:rsid w:val="00BE2C06"/>
    <w:rsid w:val="00BE4AE6"/>
    <w:rsid w:val="00BE4E53"/>
    <w:rsid w:val="00BE573D"/>
    <w:rsid w:val="00BF0050"/>
    <w:rsid w:val="00BF145D"/>
    <w:rsid w:val="00BF4E8A"/>
    <w:rsid w:val="00C01D3F"/>
    <w:rsid w:val="00C02265"/>
    <w:rsid w:val="00C0629A"/>
    <w:rsid w:val="00C1003C"/>
    <w:rsid w:val="00C12228"/>
    <w:rsid w:val="00C12E84"/>
    <w:rsid w:val="00C1514B"/>
    <w:rsid w:val="00C207A5"/>
    <w:rsid w:val="00C2190D"/>
    <w:rsid w:val="00C23B46"/>
    <w:rsid w:val="00C31379"/>
    <w:rsid w:val="00C37BC5"/>
    <w:rsid w:val="00C4353E"/>
    <w:rsid w:val="00C4443A"/>
    <w:rsid w:val="00C4511F"/>
    <w:rsid w:val="00C4762E"/>
    <w:rsid w:val="00C547F1"/>
    <w:rsid w:val="00C55250"/>
    <w:rsid w:val="00C56627"/>
    <w:rsid w:val="00C629A4"/>
    <w:rsid w:val="00C66395"/>
    <w:rsid w:val="00C66D87"/>
    <w:rsid w:val="00C6737B"/>
    <w:rsid w:val="00C71499"/>
    <w:rsid w:val="00C72C3D"/>
    <w:rsid w:val="00C832D0"/>
    <w:rsid w:val="00C84A7E"/>
    <w:rsid w:val="00C9188B"/>
    <w:rsid w:val="00C93E58"/>
    <w:rsid w:val="00C93F1B"/>
    <w:rsid w:val="00C94ADA"/>
    <w:rsid w:val="00C952E2"/>
    <w:rsid w:val="00CA55CF"/>
    <w:rsid w:val="00CB131C"/>
    <w:rsid w:val="00CB25C9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CE46B3"/>
    <w:rsid w:val="00CE5D43"/>
    <w:rsid w:val="00CE7F01"/>
    <w:rsid w:val="00CF4C2B"/>
    <w:rsid w:val="00D01B4B"/>
    <w:rsid w:val="00D022A3"/>
    <w:rsid w:val="00D03DFC"/>
    <w:rsid w:val="00D056B1"/>
    <w:rsid w:val="00D11DF3"/>
    <w:rsid w:val="00D2270E"/>
    <w:rsid w:val="00D2425F"/>
    <w:rsid w:val="00D31C04"/>
    <w:rsid w:val="00D31D79"/>
    <w:rsid w:val="00D33090"/>
    <w:rsid w:val="00D3432D"/>
    <w:rsid w:val="00D36CD8"/>
    <w:rsid w:val="00D376B7"/>
    <w:rsid w:val="00D42A72"/>
    <w:rsid w:val="00D534EC"/>
    <w:rsid w:val="00D545F0"/>
    <w:rsid w:val="00D60055"/>
    <w:rsid w:val="00D609E4"/>
    <w:rsid w:val="00D616E1"/>
    <w:rsid w:val="00D628B0"/>
    <w:rsid w:val="00D63711"/>
    <w:rsid w:val="00D6474A"/>
    <w:rsid w:val="00D66933"/>
    <w:rsid w:val="00D66D05"/>
    <w:rsid w:val="00D71FE7"/>
    <w:rsid w:val="00D75D8F"/>
    <w:rsid w:val="00D815F1"/>
    <w:rsid w:val="00D818BA"/>
    <w:rsid w:val="00D86807"/>
    <w:rsid w:val="00D91769"/>
    <w:rsid w:val="00D96F96"/>
    <w:rsid w:val="00DA057A"/>
    <w:rsid w:val="00DA3F54"/>
    <w:rsid w:val="00DA5506"/>
    <w:rsid w:val="00DA5536"/>
    <w:rsid w:val="00DA652E"/>
    <w:rsid w:val="00DA7DFB"/>
    <w:rsid w:val="00DB2D47"/>
    <w:rsid w:val="00DB32C7"/>
    <w:rsid w:val="00DB3B16"/>
    <w:rsid w:val="00DB61ED"/>
    <w:rsid w:val="00DB7193"/>
    <w:rsid w:val="00DC79DC"/>
    <w:rsid w:val="00DC7A03"/>
    <w:rsid w:val="00DD258B"/>
    <w:rsid w:val="00DD4565"/>
    <w:rsid w:val="00DD6022"/>
    <w:rsid w:val="00DE5EF0"/>
    <w:rsid w:val="00DF1DB4"/>
    <w:rsid w:val="00DF3D69"/>
    <w:rsid w:val="00DF4C0D"/>
    <w:rsid w:val="00DF5B04"/>
    <w:rsid w:val="00DF7A0B"/>
    <w:rsid w:val="00E00662"/>
    <w:rsid w:val="00E014B3"/>
    <w:rsid w:val="00E07135"/>
    <w:rsid w:val="00E11BF5"/>
    <w:rsid w:val="00E16DD8"/>
    <w:rsid w:val="00E2007B"/>
    <w:rsid w:val="00E21120"/>
    <w:rsid w:val="00E234C2"/>
    <w:rsid w:val="00E23FE9"/>
    <w:rsid w:val="00E25FF8"/>
    <w:rsid w:val="00E31321"/>
    <w:rsid w:val="00E35453"/>
    <w:rsid w:val="00E53655"/>
    <w:rsid w:val="00E54FC5"/>
    <w:rsid w:val="00E56951"/>
    <w:rsid w:val="00E63F28"/>
    <w:rsid w:val="00E64574"/>
    <w:rsid w:val="00E6555A"/>
    <w:rsid w:val="00E6709C"/>
    <w:rsid w:val="00E67477"/>
    <w:rsid w:val="00E742B9"/>
    <w:rsid w:val="00E8055C"/>
    <w:rsid w:val="00E80DFE"/>
    <w:rsid w:val="00E9574B"/>
    <w:rsid w:val="00E9643F"/>
    <w:rsid w:val="00EA153B"/>
    <w:rsid w:val="00EA3384"/>
    <w:rsid w:val="00EA794F"/>
    <w:rsid w:val="00EB5B99"/>
    <w:rsid w:val="00EC0703"/>
    <w:rsid w:val="00EC188C"/>
    <w:rsid w:val="00EC38D2"/>
    <w:rsid w:val="00EC5525"/>
    <w:rsid w:val="00EC7475"/>
    <w:rsid w:val="00ED265C"/>
    <w:rsid w:val="00ED2A33"/>
    <w:rsid w:val="00ED3B3C"/>
    <w:rsid w:val="00ED446F"/>
    <w:rsid w:val="00ED4D58"/>
    <w:rsid w:val="00ED6053"/>
    <w:rsid w:val="00ED646A"/>
    <w:rsid w:val="00EE3553"/>
    <w:rsid w:val="00EE7CA2"/>
    <w:rsid w:val="00F02061"/>
    <w:rsid w:val="00F057EC"/>
    <w:rsid w:val="00F112AB"/>
    <w:rsid w:val="00F1300E"/>
    <w:rsid w:val="00F15A84"/>
    <w:rsid w:val="00F17E99"/>
    <w:rsid w:val="00F22910"/>
    <w:rsid w:val="00F24672"/>
    <w:rsid w:val="00F271FC"/>
    <w:rsid w:val="00F3014D"/>
    <w:rsid w:val="00F34772"/>
    <w:rsid w:val="00F34F89"/>
    <w:rsid w:val="00F36A7C"/>
    <w:rsid w:val="00F40D5E"/>
    <w:rsid w:val="00F41408"/>
    <w:rsid w:val="00F53A62"/>
    <w:rsid w:val="00F54B1C"/>
    <w:rsid w:val="00F54F43"/>
    <w:rsid w:val="00F55565"/>
    <w:rsid w:val="00F56F9C"/>
    <w:rsid w:val="00F645B7"/>
    <w:rsid w:val="00F77DAC"/>
    <w:rsid w:val="00F8098F"/>
    <w:rsid w:val="00F81340"/>
    <w:rsid w:val="00F82A4F"/>
    <w:rsid w:val="00F85175"/>
    <w:rsid w:val="00F87CFE"/>
    <w:rsid w:val="00F90ED9"/>
    <w:rsid w:val="00F92582"/>
    <w:rsid w:val="00F92F2E"/>
    <w:rsid w:val="00F957A6"/>
    <w:rsid w:val="00F964FC"/>
    <w:rsid w:val="00F969FC"/>
    <w:rsid w:val="00FA4624"/>
    <w:rsid w:val="00FA4699"/>
    <w:rsid w:val="00FB01E2"/>
    <w:rsid w:val="00FB37EC"/>
    <w:rsid w:val="00FC370F"/>
    <w:rsid w:val="00FD07A7"/>
    <w:rsid w:val="00FD469A"/>
    <w:rsid w:val="00FD5C3A"/>
    <w:rsid w:val="00FD6DAE"/>
    <w:rsid w:val="00FE15D0"/>
    <w:rsid w:val="00FE22CF"/>
    <w:rsid w:val="00FE5537"/>
    <w:rsid w:val="00FE6662"/>
    <w:rsid w:val="00FF1B5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357C5"/>
  <w15:docId w15:val="{708C0BBF-5766-4109-A26E-F963A5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8A6E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3263F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BAC9-C8C6-45FF-9D68-94A22A583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D51CC-1260-45DF-9C0F-6B93CDA76B83}"/>
</file>

<file path=customXml/itemProps3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A5BE8-92D8-4FE5-9CE1-E1B9FCA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山本　大吾</cp:lastModifiedBy>
  <cp:revision>92</cp:revision>
  <cp:lastPrinted>2020-05-28T10:47:00Z</cp:lastPrinted>
  <dcterms:created xsi:type="dcterms:W3CDTF">2017-06-02T09:38:00Z</dcterms:created>
  <dcterms:modified xsi:type="dcterms:W3CDTF">2020-07-01T05:26:00Z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