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E3" w:rsidRDefault="004B77BD">
      <w:pPr>
        <w:rPr>
          <w:rFonts w:ascii="ＭＳ 明朝" w:eastAsia="ＭＳ 明朝" w:hAnsi="ＭＳ 明朝" w:cs="ＭＳ Ｐゴシック"/>
          <w:color w:val="000000"/>
          <w:kern w:val="0"/>
          <w:sz w:val="24"/>
          <w:szCs w:val="24"/>
          <w:bdr w:val="single" w:sz="4" w:space="0" w:color="auto"/>
        </w:rPr>
      </w:pPr>
      <w:r w:rsidRPr="004B77BD">
        <w:rPr>
          <w:rFonts w:ascii="ＭＳ 明朝" w:eastAsia="ＭＳ 明朝" w:hAnsi="ＭＳ 明朝" w:cs="ＭＳ Ｐゴシック"/>
          <w:color w:val="000000"/>
          <w:kern w:val="0"/>
          <w:sz w:val="24"/>
          <w:szCs w:val="24"/>
          <w:bdr w:val="single" w:sz="4" w:space="0" w:color="auto"/>
        </w:rPr>
        <w:t>１．令和元年分収支報告書の提出状況及び収支の状況</w:t>
      </w:r>
    </w:p>
    <w:p w:rsidR="004B77BD" w:rsidRPr="004B77BD" w:rsidRDefault="004B77BD">
      <w:pPr>
        <w:rPr>
          <w:rFonts w:ascii="ＭＳ 明朝" w:eastAsia="ＭＳ 明朝" w:hAnsi="ＭＳ 明朝" w:cs="ＭＳ Ｐゴシック"/>
          <w:color w:val="000000"/>
          <w:kern w:val="0"/>
          <w:sz w:val="24"/>
          <w:szCs w:val="24"/>
          <w:bdr w:val="single" w:sz="4" w:space="0" w:color="auto"/>
        </w:rPr>
      </w:pPr>
    </w:p>
    <w:tbl>
      <w:tblPr>
        <w:tblW w:w="14459" w:type="dxa"/>
        <w:tblCellMar>
          <w:left w:w="99" w:type="dxa"/>
          <w:right w:w="99" w:type="dxa"/>
        </w:tblCellMar>
        <w:tblLook w:val="04A0" w:firstRow="1" w:lastRow="0" w:firstColumn="1" w:lastColumn="0" w:noHBand="0" w:noVBand="1"/>
      </w:tblPr>
      <w:tblGrid>
        <w:gridCol w:w="3880"/>
        <w:gridCol w:w="680"/>
        <w:gridCol w:w="680"/>
        <w:gridCol w:w="1280"/>
        <w:gridCol w:w="680"/>
        <w:gridCol w:w="680"/>
        <w:gridCol w:w="1280"/>
        <w:gridCol w:w="680"/>
        <w:gridCol w:w="4619"/>
      </w:tblGrid>
      <w:tr w:rsidR="004B77BD" w:rsidRPr="004B77BD" w:rsidTr="004B77BD">
        <w:trPr>
          <w:trHeight w:val="360"/>
        </w:trPr>
        <w:tc>
          <w:tcPr>
            <w:tcW w:w="38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(1) 収支報告書の提出状況</w:t>
            </w: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4619"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r>
      <w:tr w:rsidR="004B77BD" w:rsidRPr="004B77BD" w:rsidTr="004B77BD">
        <w:trPr>
          <w:trHeight w:val="696"/>
        </w:trPr>
        <w:tc>
          <w:tcPr>
            <w:tcW w:w="14459" w:type="dxa"/>
            <w:gridSpan w:val="9"/>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kern w:val="0"/>
                <w:szCs w:val="24"/>
              </w:rPr>
            </w:pPr>
            <w:r w:rsidRPr="004B77BD">
              <w:rPr>
                <w:rFonts w:ascii="ＭＳ 明朝" w:eastAsia="ＭＳ 明朝" w:hAnsi="ＭＳ 明朝" w:cs="ＭＳ Ｐゴシック" w:hint="eastAsia"/>
                <w:kern w:val="0"/>
                <w:szCs w:val="24"/>
              </w:rPr>
              <w:t xml:space="preserve">　令和元年分収支報告書の提出義務がある政治団体数は、政党の支部３４８団体、その他の政治団体２，２７７団体の合計２，６２５団体で、前年に比べ政党の支部が４団体増加、その他の政治団体は１４団体増加している。</w:t>
            </w:r>
          </w:p>
        </w:tc>
      </w:tr>
      <w:tr w:rsidR="004B77BD" w:rsidRPr="004B77BD" w:rsidTr="004B77BD">
        <w:trPr>
          <w:trHeight w:val="692"/>
        </w:trPr>
        <w:tc>
          <w:tcPr>
            <w:tcW w:w="14459" w:type="dxa"/>
            <w:gridSpan w:val="9"/>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kern w:val="0"/>
                <w:szCs w:val="24"/>
              </w:rPr>
            </w:pPr>
            <w:r w:rsidRPr="004B77BD">
              <w:rPr>
                <w:rFonts w:ascii="ＭＳ 明朝" w:eastAsia="ＭＳ 明朝" w:hAnsi="ＭＳ 明朝" w:cs="ＭＳ Ｐゴシック" w:hint="eastAsia"/>
                <w:kern w:val="0"/>
                <w:szCs w:val="24"/>
              </w:rPr>
              <w:t xml:space="preserve">　これらの団体のうち、令和元年分収支報告書を提出した団体数は、２，５３４団体で、提出率は９６．５％となっている。これは前年より２．９ポイント増加している。</w:t>
            </w:r>
          </w:p>
        </w:tc>
      </w:tr>
      <w:tr w:rsidR="004B77BD" w:rsidRPr="004B77BD" w:rsidTr="004B77BD">
        <w:trPr>
          <w:trHeight w:val="672"/>
        </w:trPr>
        <w:tc>
          <w:tcPr>
            <w:tcW w:w="14459" w:type="dxa"/>
            <w:gridSpan w:val="9"/>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kern w:val="0"/>
                <w:szCs w:val="24"/>
              </w:rPr>
            </w:pPr>
            <w:r w:rsidRPr="004B77BD">
              <w:rPr>
                <w:rFonts w:ascii="ＭＳ 明朝" w:eastAsia="ＭＳ 明朝" w:hAnsi="ＭＳ 明朝" w:cs="ＭＳ Ｐゴシック" w:hint="eastAsia"/>
                <w:kern w:val="0"/>
                <w:szCs w:val="24"/>
              </w:rPr>
              <w:t xml:space="preserve">　国会議員関係政治団体だけでみると、提出義務団体数は、政党の支部６９団体、その他の政治団体８５団体の合計１５４団体、提出団体数は、政党の支部６９団体、その他の政治団体８５団体の１５４団体で、提出率は１００％となっている。</w:t>
            </w:r>
          </w:p>
        </w:tc>
      </w:tr>
    </w:tbl>
    <w:p w:rsidR="004B77BD" w:rsidRDefault="00EE51D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6189248</wp:posOffset>
                </wp:positionH>
                <wp:positionV relativeFrom="paragraph">
                  <wp:posOffset>122701</wp:posOffset>
                </wp:positionV>
                <wp:extent cx="3006970" cy="1213338"/>
                <wp:effectExtent l="0" t="0" r="3175" b="6350"/>
                <wp:wrapNone/>
                <wp:docPr id="2" name="テキスト ボックス 2"/>
                <wp:cNvGraphicFramePr/>
                <a:graphic xmlns:a="http://schemas.openxmlformats.org/drawingml/2006/main">
                  <a:graphicData uri="http://schemas.microsoft.com/office/word/2010/wordprocessingShape">
                    <wps:wsp>
                      <wps:cNvSpPr txBox="1"/>
                      <wps:spPr>
                        <a:xfrm>
                          <a:off x="0" y="0"/>
                          <a:ext cx="3006970" cy="1213338"/>
                        </a:xfrm>
                        <a:prstGeom prst="rect">
                          <a:avLst/>
                        </a:prstGeom>
                        <a:solidFill>
                          <a:schemeClr val="lt1"/>
                        </a:solidFill>
                        <a:ln w="6350">
                          <a:noFill/>
                        </a:ln>
                      </wps:spPr>
                      <wps:txbx>
                        <w:txbxContent>
                          <w:p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rsid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（注）・提出義務団体数及び提出団体数には、</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令和元年中に解散した団体数も含まれる。</w:t>
                            </w:r>
                          </w:p>
                          <w:p w:rsid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・提出団体数とは、令和２年９月３０日までに</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収支報告書の提出があった団体数をいう。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7.35pt;margin-top:9.65pt;width:236.7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" fillcolor="white [3201]" stroked="f" strokeweight=".5pt">
                <v:textbox>
                  <w:txbxContent>
                    <w:p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rsid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（注）・提出義務団体数及び提出団体数には、</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令和元年中に解散した団体数も含まれる。</w:t>
                      </w:r>
                    </w:p>
                    <w:p w:rsid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・提出団体数とは、令和２年９月３０日までに</w:t>
                      </w:r>
                    </w:p>
                    <w:p w:rsidR="004B77BD" w:rsidRPr="004B77BD" w:rsidRDefault="004B77BD" w:rsidP="004B77BD">
                      <w:pPr>
                        <w:ind w:firstLineChars="300" w:firstLine="540"/>
                        <w:rPr>
                          <w:rFonts w:ascii="ＭＳ 明朝" w:eastAsia="ＭＳ 明朝" w:hAnsi="ＭＳ 明朝" w:cs="ＭＳ Ｐゴシック" w:hint="eastAsia"/>
                          <w:kern w:val="0"/>
                          <w:sz w:val="18"/>
                          <w:szCs w:val="24"/>
                        </w:rPr>
                      </w:pPr>
                      <w:r w:rsidRPr="004B77BD">
                        <w:rPr>
                          <w:rFonts w:ascii="ＭＳ 明朝" w:eastAsia="ＭＳ 明朝" w:hAnsi="ＭＳ 明朝" w:cs="ＭＳ Ｐゴシック" w:hint="eastAsia"/>
                          <w:kern w:val="0"/>
                          <w:sz w:val="18"/>
                          <w:szCs w:val="24"/>
                        </w:rPr>
                        <w:t>収支報告書の提出があった団体数</w:t>
                      </w:r>
                      <w:r w:rsidRPr="004B77BD">
                        <w:rPr>
                          <w:rFonts w:ascii="ＭＳ 明朝" w:eastAsia="ＭＳ 明朝" w:hAnsi="ＭＳ 明朝" w:cs="ＭＳ Ｐゴシック" w:hint="eastAsia"/>
                          <w:kern w:val="0"/>
                          <w:sz w:val="18"/>
                          <w:szCs w:val="24"/>
                        </w:rPr>
                        <w:t>を</w:t>
                      </w:r>
                      <w:r w:rsidRPr="004B77BD">
                        <w:rPr>
                          <w:rFonts w:ascii="ＭＳ 明朝" w:eastAsia="ＭＳ 明朝" w:hAnsi="ＭＳ 明朝" w:cs="ＭＳ Ｐゴシック" w:hint="eastAsia"/>
                          <w:kern w:val="0"/>
                          <w:sz w:val="18"/>
                          <w:szCs w:val="24"/>
                        </w:rPr>
                        <w:t>いう。</w:t>
                      </w:r>
                    </w:p>
                  </w:txbxContent>
                </v:textbox>
              </v:shape>
            </w:pict>
          </mc:Fallback>
        </mc:AlternateContent>
      </w:r>
      <w:r w:rsidR="004B77BD">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1319</wp:posOffset>
                </wp:positionH>
                <wp:positionV relativeFrom="paragraph">
                  <wp:posOffset>2691765</wp:posOffset>
                </wp:positionV>
                <wp:extent cx="8502161" cy="773723"/>
                <wp:effectExtent l="0" t="0" r="13335" b="26670"/>
                <wp:wrapNone/>
                <wp:docPr id="3" name="テキスト ボックス 3"/>
                <wp:cNvGraphicFramePr/>
                <a:graphic xmlns:a="http://schemas.openxmlformats.org/drawingml/2006/main">
                  <a:graphicData uri="http://schemas.microsoft.com/office/word/2010/wordprocessingShape">
                    <wps:wsp>
                      <wps:cNvSpPr txBox="1"/>
                      <wps:spPr>
                        <a:xfrm>
                          <a:off x="0" y="0"/>
                          <a:ext cx="8502161" cy="773723"/>
                        </a:xfrm>
                        <a:prstGeom prst="rect">
                          <a:avLst/>
                        </a:prstGeom>
                        <a:solidFill>
                          <a:schemeClr val="lt1"/>
                        </a:solidFill>
                        <a:ln w="6350">
                          <a:solidFill>
                            <a:schemeClr val="tx1"/>
                          </a:solidFill>
                        </a:ln>
                      </wps:spPr>
                      <wps:txbx>
                        <w:txbxContent>
                          <w:p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p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（注）平成２０年以前の数値については、その年の７月末までに提出があったものについての数値である。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pt;margin-top:211.95pt;width:669.45pt;height:6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" fillcolor="white [3201]" strokecolor="black [3213]" strokeweight=".5pt">
                <v:textbox>
                  <w:txbxContent>
                    <w:p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p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（注）平成２０年以前の数値については、その年の７月末までに提出があったものについての数値である。</w:t>
                      </w:r>
                    </w:p>
                  </w:txbxContent>
                </v:textbox>
              </v:shape>
            </w:pict>
          </mc:Fallback>
        </mc:AlternateContent>
      </w:r>
      <w:r w:rsidRPr="00EE51D9">
        <w:rPr>
          <w:noProof/>
        </w:rPr>
        <w:drawing>
          <wp:inline distT="0" distB="0" distL="0" distR="0">
            <wp:extent cx="5886450" cy="250308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212" cy="2525517"/>
                    </a:xfrm>
                    <a:prstGeom prst="rect">
                      <a:avLst/>
                    </a:prstGeom>
                    <a:noFill/>
                    <a:ln>
                      <a:noFill/>
                    </a:ln>
                  </pic:spPr>
                </pic:pic>
              </a:graphicData>
            </a:graphic>
          </wp:inline>
        </w:drawing>
      </w:r>
    </w:p>
    <w:p w:rsidR="004B77BD" w:rsidRDefault="004B77BD"/>
    <w:tbl>
      <w:tblPr>
        <w:tblW w:w="15060" w:type="dxa"/>
        <w:tblLayout w:type="fixed"/>
        <w:tblCellMar>
          <w:left w:w="99" w:type="dxa"/>
          <w:right w:w="99" w:type="dxa"/>
        </w:tblCellMar>
        <w:tblLook w:val="04A0" w:firstRow="1" w:lastRow="0" w:firstColumn="1" w:lastColumn="0" w:noHBand="0" w:noVBand="1"/>
      </w:tblPr>
      <w:tblGrid>
        <w:gridCol w:w="1843"/>
        <w:gridCol w:w="597"/>
        <w:gridCol w:w="940"/>
        <w:gridCol w:w="340"/>
        <w:gridCol w:w="340"/>
        <w:gridCol w:w="151"/>
        <w:gridCol w:w="529"/>
        <w:gridCol w:w="260"/>
        <w:gridCol w:w="11"/>
        <w:gridCol w:w="728"/>
        <w:gridCol w:w="281"/>
        <w:gridCol w:w="260"/>
        <w:gridCol w:w="420"/>
        <w:gridCol w:w="319"/>
        <w:gridCol w:w="361"/>
        <w:gridCol w:w="180"/>
        <w:gridCol w:w="139"/>
        <w:gridCol w:w="693"/>
        <w:gridCol w:w="268"/>
        <w:gridCol w:w="180"/>
        <w:gridCol w:w="500"/>
        <w:gridCol w:w="487"/>
        <w:gridCol w:w="293"/>
        <w:gridCol w:w="387"/>
        <w:gridCol w:w="3668"/>
        <w:gridCol w:w="218"/>
        <w:gridCol w:w="449"/>
        <w:gridCol w:w="218"/>
      </w:tblGrid>
      <w:tr w:rsidR="00D62545" w:rsidRPr="004B77BD" w:rsidTr="00F26499">
        <w:trPr>
          <w:trHeight w:val="540"/>
        </w:trPr>
        <w:tc>
          <w:tcPr>
            <w:tcW w:w="1843" w:type="dxa"/>
            <w:tcBorders>
              <w:top w:val="nil"/>
              <w:left w:val="nil"/>
              <w:bottom w:val="nil"/>
              <w:right w:val="nil"/>
            </w:tcBorders>
            <w:shd w:val="clear" w:color="auto" w:fill="auto"/>
            <w:noWrap/>
            <w:vAlign w:val="center"/>
            <w:hideMark/>
          </w:tcPr>
          <w:p w:rsidR="004B77BD" w:rsidRPr="004B77BD" w:rsidRDefault="004B77BD" w:rsidP="00D62545">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(2) 収支の状況</w:t>
            </w:r>
          </w:p>
        </w:tc>
        <w:tc>
          <w:tcPr>
            <w:tcW w:w="2368" w:type="dxa"/>
            <w:gridSpan w:val="5"/>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800" w:type="dxa"/>
            <w:gridSpan w:val="3"/>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728" w:type="dxa"/>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80" w:type="dxa"/>
            <w:gridSpan w:val="3"/>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93" w:type="dxa"/>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1435" w:type="dxa"/>
            <w:gridSpan w:val="4"/>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bookmarkStart w:id="0" w:name="_GoBack"/>
            <w:bookmarkEnd w:id="0"/>
          </w:p>
        </w:tc>
        <w:tc>
          <w:tcPr>
            <w:tcW w:w="680" w:type="dxa"/>
            <w:gridSpan w:val="2"/>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4335" w:type="dxa"/>
            <w:gridSpan w:val="3"/>
            <w:tcBorders>
              <w:top w:val="nil"/>
              <w:left w:val="nil"/>
              <w:bottom w:val="nil"/>
              <w:right w:val="nil"/>
            </w:tcBorders>
            <w:shd w:val="clear" w:color="auto" w:fill="auto"/>
            <w:noWrap/>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218"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 w:val="20"/>
                <w:szCs w:val="20"/>
              </w:rPr>
            </w:pPr>
          </w:p>
        </w:tc>
      </w:tr>
      <w:tr w:rsidR="009B0E0F" w:rsidRPr="009B0E0F" w:rsidTr="00F26499">
        <w:trPr>
          <w:gridAfter w:val="2"/>
          <w:wAfter w:w="667" w:type="dxa"/>
          <w:trHeight w:val="540"/>
        </w:trPr>
        <w:tc>
          <w:tcPr>
            <w:tcW w:w="3380" w:type="dxa"/>
            <w:gridSpan w:val="3"/>
            <w:tcBorders>
              <w:top w:val="nil"/>
              <w:left w:val="nil"/>
              <w:bottom w:val="nil"/>
              <w:right w:val="nil"/>
            </w:tcBorders>
            <w:shd w:val="clear" w:color="auto" w:fill="auto"/>
            <w:noWrap/>
            <w:vAlign w:val="center"/>
            <w:hideMark/>
          </w:tcPr>
          <w:p w:rsidR="009B0E0F" w:rsidRPr="009B0E0F" w:rsidRDefault="009B0E0F" w:rsidP="009B0E0F">
            <w:pPr>
              <w:widowControl/>
              <w:jc w:val="left"/>
              <w:rPr>
                <w:rFonts w:ascii="ＭＳ 明朝" w:eastAsia="ＭＳ 明朝" w:hAnsi="ＭＳ 明朝" w:cs="ＭＳ Ｐゴシック"/>
                <w:color w:val="000000"/>
                <w:kern w:val="0"/>
                <w:szCs w:val="24"/>
              </w:rPr>
            </w:pPr>
            <w:r w:rsidRPr="009B0E0F">
              <w:rPr>
                <w:rFonts w:ascii="ＭＳ 明朝" w:eastAsia="ＭＳ 明朝" w:hAnsi="ＭＳ 明朝" w:cs="ＭＳ Ｐゴシック" w:hint="eastAsia"/>
                <w:color w:val="000000"/>
                <w:kern w:val="0"/>
                <w:szCs w:val="24"/>
              </w:rPr>
              <w:lastRenderedPageBreak/>
              <w:t xml:space="preserve">(2) </w:t>
            </w:r>
            <w:r w:rsidRPr="00F26499">
              <w:rPr>
                <w:rFonts w:ascii="ＭＳ 明朝" w:eastAsia="ＭＳ 明朝" w:hAnsi="ＭＳ 明朝" w:cs="ＭＳ Ｐゴシック" w:hint="eastAsia"/>
                <w:color w:val="000000"/>
                <w:kern w:val="0"/>
                <w:szCs w:val="24"/>
              </w:rPr>
              <w:t>収支の状況</w:t>
            </w: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left"/>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4835" w:type="dxa"/>
            <w:gridSpan w:val="4"/>
            <w:tcBorders>
              <w:top w:val="nil"/>
              <w:left w:val="nil"/>
              <w:bottom w:val="nil"/>
              <w:right w:val="nil"/>
            </w:tcBorders>
            <w:shd w:val="clear" w:color="auto" w:fill="auto"/>
            <w:noWrap/>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218" w:type="dxa"/>
            <w:tcBorders>
              <w:top w:val="nil"/>
              <w:left w:val="nil"/>
              <w:bottom w:val="nil"/>
              <w:right w:val="nil"/>
            </w:tcBorders>
            <w:shd w:val="clear" w:color="auto" w:fill="auto"/>
            <w:noWrap/>
            <w:vAlign w:val="center"/>
            <w:hideMark/>
          </w:tcPr>
          <w:p w:rsidR="009B0E0F" w:rsidRPr="009B0E0F" w:rsidRDefault="009B0E0F" w:rsidP="009B0E0F">
            <w:pPr>
              <w:widowControl/>
              <w:jc w:val="left"/>
              <w:rPr>
                <w:rFonts w:ascii="Times New Roman" w:eastAsia="Times New Roman" w:hAnsi="Times New Roman" w:cs="Times New Roman"/>
                <w:kern w:val="0"/>
                <w:sz w:val="20"/>
                <w:szCs w:val="20"/>
              </w:rPr>
            </w:pPr>
          </w:p>
        </w:tc>
      </w:tr>
      <w:tr w:rsidR="009B0E0F" w:rsidRPr="009B0E0F" w:rsidTr="00F26499">
        <w:trPr>
          <w:gridAfter w:val="3"/>
          <w:wAfter w:w="885" w:type="dxa"/>
          <w:trHeight w:val="615"/>
        </w:trPr>
        <w:tc>
          <w:tcPr>
            <w:tcW w:w="14175" w:type="dxa"/>
            <w:gridSpan w:val="25"/>
            <w:tcBorders>
              <w:top w:val="nil"/>
              <w:left w:val="nil"/>
              <w:bottom w:val="nil"/>
              <w:right w:val="nil"/>
            </w:tcBorders>
            <w:shd w:val="clear" w:color="auto" w:fill="auto"/>
            <w:vAlign w:val="center"/>
            <w:hideMark/>
          </w:tcPr>
          <w:p w:rsidR="009B0E0F" w:rsidRPr="009B0E0F" w:rsidRDefault="009B0E0F" w:rsidP="009B0E0F">
            <w:pPr>
              <w:widowControl/>
              <w:jc w:val="left"/>
              <w:rPr>
                <w:rFonts w:ascii="ＭＳ 明朝" w:eastAsia="ＭＳ 明朝" w:hAnsi="ＭＳ 明朝" w:cs="ＭＳ Ｐゴシック"/>
                <w:kern w:val="0"/>
                <w:szCs w:val="24"/>
              </w:rPr>
            </w:pPr>
            <w:r w:rsidRPr="009B0E0F">
              <w:rPr>
                <w:rFonts w:ascii="ＭＳ 明朝" w:eastAsia="ＭＳ 明朝" w:hAnsi="ＭＳ 明朝" w:cs="ＭＳ Ｐゴシック" w:hint="eastAsia"/>
                <w:kern w:val="0"/>
                <w:szCs w:val="24"/>
              </w:rPr>
              <w:t xml:space="preserve">　令和元年分の本年収入額は８８億１，９００万円で、前年分（７０億３，３００万円）に比べ１７億８，６００万円（２５．４％）の増加となっている。</w:t>
            </w:r>
          </w:p>
        </w:tc>
      </w:tr>
      <w:tr w:rsidR="009B0E0F" w:rsidRPr="009B0E0F" w:rsidTr="00F26499">
        <w:trPr>
          <w:gridAfter w:val="3"/>
          <w:wAfter w:w="885" w:type="dxa"/>
          <w:trHeight w:val="293"/>
        </w:trPr>
        <w:tc>
          <w:tcPr>
            <w:tcW w:w="14175" w:type="dxa"/>
            <w:gridSpan w:val="25"/>
            <w:tcBorders>
              <w:top w:val="nil"/>
              <w:left w:val="nil"/>
              <w:bottom w:val="nil"/>
              <w:right w:val="nil"/>
            </w:tcBorders>
            <w:shd w:val="clear" w:color="auto" w:fill="auto"/>
            <w:vAlign w:val="center"/>
            <w:hideMark/>
          </w:tcPr>
          <w:p w:rsidR="009B0E0F" w:rsidRPr="009B0E0F" w:rsidRDefault="009B0E0F" w:rsidP="009B0E0F">
            <w:pPr>
              <w:widowControl/>
              <w:jc w:val="left"/>
              <w:rPr>
                <w:rFonts w:ascii="ＭＳ 明朝" w:eastAsia="ＭＳ 明朝" w:hAnsi="ＭＳ 明朝" w:cs="ＭＳ Ｐゴシック"/>
                <w:kern w:val="0"/>
                <w:szCs w:val="24"/>
              </w:rPr>
            </w:pPr>
            <w:r w:rsidRPr="009B0E0F">
              <w:rPr>
                <w:rFonts w:ascii="ＭＳ 明朝" w:eastAsia="ＭＳ 明朝" w:hAnsi="ＭＳ 明朝" w:cs="ＭＳ Ｐゴシック" w:hint="eastAsia"/>
                <w:kern w:val="0"/>
                <w:szCs w:val="24"/>
              </w:rPr>
              <w:t xml:space="preserve">　また、支出総額は８９億８，０００万円で、前年分（６７億１，５００万円）に比べ２２億６，５００万円（３３．７％）の増加となっている。</w:t>
            </w:r>
          </w:p>
        </w:tc>
      </w:tr>
      <w:tr w:rsidR="00F26499" w:rsidRPr="00F26499" w:rsidTr="00F26499">
        <w:trPr>
          <w:gridAfter w:val="3"/>
          <w:wAfter w:w="885" w:type="dxa"/>
          <w:trHeight w:val="368"/>
        </w:trPr>
        <w:tc>
          <w:tcPr>
            <w:tcW w:w="2440" w:type="dxa"/>
            <w:gridSpan w:val="2"/>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t>(3) 収入項目別内訳</w:t>
            </w:r>
          </w:p>
        </w:tc>
        <w:tc>
          <w:tcPr>
            <w:tcW w:w="1280" w:type="dxa"/>
            <w:gridSpan w:val="2"/>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3"/>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4055" w:type="dxa"/>
            <w:gridSpan w:val="2"/>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F26499">
        <w:trPr>
          <w:gridAfter w:val="3"/>
          <w:wAfter w:w="885" w:type="dxa"/>
          <w:trHeight w:val="721"/>
        </w:trPr>
        <w:tc>
          <w:tcPr>
            <w:tcW w:w="14175" w:type="dxa"/>
            <w:gridSpan w:val="25"/>
            <w:tcBorders>
              <w:top w:val="nil"/>
              <w:left w:val="nil"/>
              <w:bottom w:val="nil"/>
              <w:right w:val="nil"/>
            </w:tcBorders>
            <w:shd w:val="clear" w:color="auto" w:fill="auto"/>
            <w:vAlign w:val="center"/>
            <w:hideMark/>
          </w:tcPr>
          <w:p w:rsidR="00F26499" w:rsidRPr="00F26499" w:rsidRDefault="00F26499" w:rsidP="00F26499">
            <w:pPr>
              <w:widowControl/>
              <w:jc w:val="left"/>
              <w:rPr>
                <w:rFonts w:ascii="ＭＳ 明朝" w:eastAsia="ＭＳ 明朝" w:hAnsi="ＭＳ 明朝" w:cs="ＭＳ Ｐゴシック"/>
                <w:kern w:val="0"/>
                <w:szCs w:val="24"/>
              </w:rPr>
            </w:pPr>
            <w:r w:rsidRPr="00F26499">
              <w:rPr>
                <w:rFonts w:ascii="ＭＳ 明朝" w:eastAsia="ＭＳ 明朝" w:hAnsi="ＭＳ 明朝" w:cs="ＭＳ Ｐゴシック" w:hint="eastAsia"/>
                <w:kern w:val="0"/>
                <w:szCs w:val="24"/>
              </w:rPr>
              <w:t xml:space="preserve">　本年収入額を政党の支部、その他の政治団体別にみると、政党の支部に係るものは５４億４，２００万円で、前年分（３７億９，９００万円）に比べ１６億４，３００万円（４３．</w:t>
            </w:r>
            <w:r w:rsidR="00B06A8A">
              <w:rPr>
                <w:rFonts w:ascii="ＭＳ 明朝" w:eastAsia="ＭＳ 明朝" w:hAnsi="ＭＳ 明朝" w:cs="ＭＳ Ｐゴシック" w:hint="eastAsia"/>
                <w:kern w:val="0"/>
                <w:szCs w:val="24"/>
              </w:rPr>
              <w:t>３</w:t>
            </w:r>
            <w:r w:rsidRPr="00F26499">
              <w:rPr>
                <w:rFonts w:ascii="ＭＳ 明朝" w:eastAsia="ＭＳ 明朝" w:hAnsi="ＭＳ 明朝" w:cs="ＭＳ Ｐゴシック" w:hint="eastAsia"/>
                <w:kern w:val="0"/>
                <w:szCs w:val="24"/>
              </w:rPr>
              <w:t>％）の増加となっている。</w:t>
            </w:r>
          </w:p>
        </w:tc>
      </w:tr>
      <w:tr w:rsidR="00F26499" w:rsidRPr="00F26499" w:rsidTr="00F26499">
        <w:trPr>
          <w:gridAfter w:val="3"/>
          <w:wAfter w:w="885" w:type="dxa"/>
          <w:trHeight w:val="575"/>
        </w:trPr>
        <w:tc>
          <w:tcPr>
            <w:tcW w:w="14175" w:type="dxa"/>
            <w:gridSpan w:val="25"/>
            <w:tcBorders>
              <w:top w:val="nil"/>
              <w:left w:val="nil"/>
              <w:bottom w:val="nil"/>
              <w:right w:val="nil"/>
            </w:tcBorders>
            <w:shd w:val="clear" w:color="auto" w:fill="auto"/>
            <w:vAlign w:val="center"/>
            <w:hideMark/>
          </w:tcPr>
          <w:p w:rsidR="00F26499" w:rsidRPr="00F26499" w:rsidRDefault="00F26499" w:rsidP="00F26499">
            <w:pPr>
              <w:widowControl/>
              <w:jc w:val="left"/>
              <w:rPr>
                <w:rFonts w:ascii="ＭＳ 明朝" w:eastAsia="ＭＳ 明朝" w:hAnsi="ＭＳ 明朝" w:cs="ＭＳ Ｐゴシック"/>
                <w:kern w:val="0"/>
                <w:szCs w:val="24"/>
              </w:rPr>
            </w:pPr>
            <w:r w:rsidRPr="00F26499">
              <w:rPr>
                <w:rFonts w:ascii="ＭＳ 明朝" w:eastAsia="ＭＳ 明朝" w:hAnsi="ＭＳ 明朝" w:cs="ＭＳ Ｐゴシック" w:hint="eastAsia"/>
                <w:kern w:val="0"/>
                <w:szCs w:val="24"/>
              </w:rPr>
              <w:t xml:space="preserve">　その他の政治団体に係るものは３３億７，７００万円で、前年分（３２億３，４００万円）に比べ１億４，３００万円（４．４％）の増加となっている。</w:t>
            </w:r>
          </w:p>
        </w:tc>
      </w:tr>
    </w:tbl>
    <w:p w:rsidR="004B77BD" w:rsidRDefault="00B60205">
      <w:r>
        <w:rPr>
          <w:rFonts w:hint="eastAsia"/>
          <w:noProof/>
        </w:rPr>
        <mc:AlternateContent>
          <mc:Choice Requires="wps">
            <w:drawing>
              <wp:anchor distT="0" distB="0" distL="114300" distR="114300" simplePos="0" relativeHeight="251662336" behindDoc="0" locked="0" layoutInCell="1" allowOverlap="1" wp14:anchorId="48FAD0B0" wp14:editId="5924CC2C">
                <wp:simplePos x="0" y="0"/>
                <wp:positionH relativeFrom="column">
                  <wp:posOffset>5596890</wp:posOffset>
                </wp:positionH>
                <wp:positionV relativeFrom="paragraph">
                  <wp:posOffset>219075</wp:posOffset>
                </wp:positionV>
                <wp:extent cx="3631223" cy="24765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3631223" cy="2476500"/>
                        </a:xfrm>
                        <a:prstGeom prst="rect">
                          <a:avLst/>
                        </a:prstGeom>
                        <a:solidFill>
                          <a:schemeClr val="lt1"/>
                        </a:solidFill>
                        <a:ln w="6350">
                          <a:noFill/>
                        </a:ln>
                      </wps:spPr>
                      <wps:txb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AD0B0" id="_x0000_t202" coordsize="21600,21600" o:spt="202" path="m,l,21600r21600,l21600,xe">
                <v:stroke joinstyle="miter"/>
                <v:path gradientshapeok="t" o:connecttype="rect"/>
              </v:shapetype>
              <v:shape id="テキスト ボックス 7" o:spid="_x0000_s1028" type="#_x0000_t202" style="position:absolute;left:0;text-align:left;margin-left:440.7pt;margin-top:17.25pt;width:285.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" fillcolor="white [3201]" stroked="f" strokeweight=".5pt">
                <v:textbo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w:t>
                      </w:r>
                      <w:bookmarkStart w:id="1" w:name="_GoBack"/>
                      <w:bookmarkEnd w:id="1"/>
                      <w:r w:rsidRPr="00F26499">
                        <w:rPr>
                          <w:rFonts w:ascii="ＭＳ 明朝" w:eastAsia="ＭＳ 明朝" w:hAnsi="ＭＳ 明朝" w:cs="ＭＳ Ｐゴシック" w:hint="eastAsia"/>
                          <w:kern w:val="0"/>
                          <w:sz w:val="18"/>
                          <w:szCs w:val="24"/>
                        </w:rPr>
                        <w:t>会会費等）、預金利子等が主なものである。</w:t>
                      </w:r>
                    </w:p>
                  </w:txbxContent>
                </v:textbox>
              </v:shape>
            </w:pict>
          </mc:Fallback>
        </mc:AlternateContent>
      </w:r>
      <w:r w:rsidRPr="00B60205">
        <w:rPr>
          <w:noProof/>
        </w:rPr>
        <w:drawing>
          <wp:inline distT="0" distB="0" distL="0" distR="0">
            <wp:extent cx="5495192" cy="314520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192" cy="3145208"/>
                    </a:xfrm>
                    <a:prstGeom prst="rect">
                      <a:avLst/>
                    </a:prstGeom>
                    <a:noFill/>
                    <a:ln>
                      <a:noFill/>
                    </a:ln>
                  </pic:spPr>
                </pic:pic>
              </a:graphicData>
            </a:graphic>
          </wp:inline>
        </w:drawing>
      </w:r>
    </w:p>
    <w:tbl>
      <w:tblPr>
        <w:tblW w:w="14317" w:type="dxa"/>
        <w:tblCellMar>
          <w:left w:w="99" w:type="dxa"/>
          <w:right w:w="99" w:type="dxa"/>
        </w:tblCellMar>
        <w:tblLook w:val="04A0" w:firstRow="1" w:lastRow="0" w:firstColumn="1" w:lastColumn="0" w:noHBand="0" w:noVBand="1"/>
      </w:tblPr>
      <w:tblGrid>
        <w:gridCol w:w="2360"/>
        <w:gridCol w:w="1560"/>
        <w:gridCol w:w="1560"/>
        <w:gridCol w:w="1560"/>
        <w:gridCol w:w="1560"/>
        <w:gridCol w:w="1720"/>
        <w:gridCol w:w="3997"/>
      </w:tblGrid>
      <w:tr w:rsidR="00F26499" w:rsidRPr="00F26499" w:rsidTr="00F26499">
        <w:trPr>
          <w:trHeight w:val="540"/>
        </w:trPr>
        <w:tc>
          <w:tcPr>
            <w:tcW w:w="23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lastRenderedPageBreak/>
              <w:t>(4) 寄附収入</w:t>
            </w: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72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3997"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F26499">
        <w:trPr>
          <w:trHeight w:val="168"/>
        </w:trPr>
        <w:tc>
          <w:tcPr>
            <w:tcW w:w="14317" w:type="dxa"/>
            <w:gridSpan w:val="7"/>
            <w:tcBorders>
              <w:top w:val="nil"/>
              <w:left w:val="nil"/>
              <w:bottom w:val="nil"/>
              <w:right w:val="nil"/>
            </w:tcBorders>
            <w:shd w:val="clear" w:color="auto" w:fill="auto"/>
            <w:vAlign w:val="center"/>
            <w:hideMark/>
          </w:tcPr>
          <w:p w:rsidR="00F26499" w:rsidRPr="00F26499" w:rsidRDefault="00F26499" w:rsidP="00F26499">
            <w:pPr>
              <w:widowControl/>
              <w:jc w:val="left"/>
              <w:rPr>
                <w:rFonts w:ascii="ＭＳ 明朝" w:eastAsia="ＭＳ 明朝" w:hAnsi="ＭＳ 明朝" w:cs="ＭＳ Ｐゴシック"/>
                <w:kern w:val="0"/>
                <w:szCs w:val="24"/>
              </w:rPr>
            </w:pPr>
            <w:r w:rsidRPr="00F26499">
              <w:rPr>
                <w:rFonts w:ascii="ＭＳ 明朝" w:eastAsia="ＭＳ 明朝" w:hAnsi="ＭＳ 明朝" w:cs="ＭＳ Ｐゴシック" w:hint="eastAsia"/>
                <w:kern w:val="0"/>
                <w:szCs w:val="24"/>
              </w:rPr>
              <w:t xml:space="preserve">　寄附収入は３３億９，８９５万９千円で、前年分（２６億７，４６０万円）に比べ７億２，４３５万９千円（２７．１％）の増加となっている。</w:t>
            </w:r>
          </w:p>
        </w:tc>
      </w:tr>
      <w:tr w:rsidR="00F26499" w:rsidRPr="00F26499" w:rsidTr="00F26499">
        <w:trPr>
          <w:trHeight w:val="720"/>
        </w:trPr>
        <w:tc>
          <w:tcPr>
            <w:tcW w:w="14317" w:type="dxa"/>
            <w:gridSpan w:val="7"/>
            <w:tcBorders>
              <w:top w:val="nil"/>
              <w:left w:val="nil"/>
              <w:bottom w:val="nil"/>
              <w:right w:val="nil"/>
            </w:tcBorders>
            <w:shd w:val="clear" w:color="auto" w:fill="auto"/>
            <w:vAlign w:val="center"/>
            <w:hideMark/>
          </w:tcPr>
          <w:p w:rsidR="00F26499" w:rsidRPr="00F26499" w:rsidRDefault="00F26499" w:rsidP="00F26499">
            <w:pPr>
              <w:widowControl/>
              <w:jc w:val="left"/>
              <w:rPr>
                <w:rFonts w:ascii="ＭＳ 明朝" w:eastAsia="ＭＳ 明朝" w:hAnsi="ＭＳ 明朝" w:cs="ＭＳ Ｐゴシック"/>
                <w:kern w:val="0"/>
                <w:szCs w:val="24"/>
              </w:rPr>
            </w:pPr>
            <w:r w:rsidRPr="00F26499">
              <w:rPr>
                <w:rFonts w:ascii="ＭＳ 明朝" w:eastAsia="ＭＳ 明朝" w:hAnsi="ＭＳ 明朝" w:cs="ＭＳ Ｐゴシック" w:hint="eastAsia"/>
                <w:kern w:val="0"/>
                <w:szCs w:val="24"/>
              </w:rPr>
              <w:t xml:space="preserve">　うち、政党の支部の寄附収入は１９億１，１９８万３千円で、前年分（１２億３，３９９万４千円）に比べ６億７，７９８万９千円（５４．９％）の増加となっている。</w:t>
            </w:r>
          </w:p>
        </w:tc>
      </w:tr>
      <w:tr w:rsidR="00F26499" w:rsidRPr="00F26499" w:rsidTr="00F26499">
        <w:trPr>
          <w:trHeight w:val="720"/>
        </w:trPr>
        <w:tc>
          <w:tcPr>
            <w:tcW w:w="14317" w:type="dxa"/>
            <w:gridSpan w:val="7"/>
            <w:tcBorders>
              <w:top w:val="nil"/>
              <w:left w:val="nil"/>
              <w:bottom w:val="nil"/>
              <w:right w:val="nil"/>
            </w:tcBorders>
            <w:shd w:val="clear" w:color="auto" w:fill="auto"/>
            <w:vAlign w:val="center"/>
            <w:hideMark/>
          </w:tcPr>
          <w:p w:rsidR="00F26499" w:rsidRPr="00F26499" w:rsidRDefault="00F26499" w:rsidP="00F26499">
            <w:pPr>
              <w:widowControl/>
              <w:jc w:val="left"/>
              <w:rPr>
                <w:rFonts w:ascii="ＭＳ 明朝" w:eastAsia="ＭＳ 明朝" w:hAnsi="ＭＳ 明朝" w:cs="ＭＳ Ｐゴシック"/>
                <w:kern w:val="0"/>
                <w:szCs w:val="24"/>
              </w:rPr>
            </w:pPr>
            <w:r w:rsidRPr="00F26499">
              <w:rPr>
                <w:rFonts w:ascii="ＭＳ 明朝" w:eastAsia="ＭＳ 明朝" w:hAnsi="ＭＳ 明朝" w:cs="ＭＳ Ｐゴシック" w:hint="eastAsia"/>
                <w:kern w:val="0"/>
                <w:szCs w:val="24"/>
              </w:rPr>
              <w:t xml:space="preserve">　また、その他の政治団体の寄附収入は１４億８，６９７万６千円で、前年分（１４億４，０６０万６千円）に比べ４，６３７万円（３.２％）の増加となっている。</w:t>
            </w:r>
          </w:p>
        </w:tc>
      </w:tr>
    </w:tbl>
    <w:p w:rsidR="00F26499" w:rsidRDefault="000E59D0">
      <w:r w:rsidRPr="000E59D0">
        <w:rPr>
          <w:noProof/>
        </w:rPr>
        <w:drawing>
          <wp:inline distT="0" distB="0" distL="0" distR="0">
            <wp:extent cx="5734050" cy="3858814"/>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339" cy="3867084"/>
                    </a:xfrm>
                    <a:prstGeom prst="rect">
                      <a:avLst/>
                    </a:prstGeom>
                    <a:noFill/>
                    <a:ln>
                      <a:noFill/>
                    </a:ln>
                  </pic:spPr>
                </pic:pic>
              </a:graphicData>
            </a:graphic>
          </wp:inline>
        </w:drawing>
      </w:r>
      <w:r w:rsidR="00F26499">
        <w:rPr>
          <w:rFonts w:hint="eastAsia"/>
          <w:noProof/>
        </w:rPr>
        <mc:AlternateContent>
          <mc:Choice Requires="wps">
            <w:drawing>
              <wp:anchor distT="0" distB="0" distL="114300" distR="114300" simplePos="0" relativeHeight="251664384" behindDoc="0" locked="0" layoutInCell="1" allowOverlap="1" wp14:anchorId="78F75278" wp14:editId="4323B52A">
                <wp:simplePos x="0" y="0"/>
                <wp:positionH relativeFrom="column">
                  <wp:posOffset>5777865</wp:posOffset>
                </wp:positionH>
                <wp:positionV relativeFrom="paragraph">
                  <wp:posOffset>440250</wp:posOffset>
                </wp:positionV>
                <wp:extent cx="3631223" cy="1046285"/>
                <wp:effectExtent l="0" t="0" r="7620" b="1905"/>
                <wp:wrapNone/>
                <wp:docPr id="9" name="テキスト ボックス 9"/>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Pr="004B77BD"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千円単位で四捨五入しているため、合計欄と表中の計が一致しない場合がある。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75278" id="_x0000_t202" coordsize="21600,21600" o:spt="202" path="m,l,21600r21600,l21600,xe">
                <v:stroke joinstyle="miter"/>
                <v:path gradientshapeok="t" o:connecttype="rect"/>
              </v:shapetype>
              <v:shape id="テキスト ボックス 9" o:spid="_x0000_s1029" type="#_x0000_t202" style="position:absolute;left:0;text-align:left;margin-left:454.95pt;margin-top:34.65pt;width:285.9pt;height: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" fillcolor="white [3201]" stroked="f" strokeweight=".5pt">
                <v:textbo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Pr="004B77BD"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千円単位で四捨五入しているため、合計欄と表中の計が一致しない場合がある。</w:t>
                      </w:r>
                    </w:p>
                  </w:txbxContent>
                </v:textbox>
              </v:shape>
            </w:pict>
          </mc:Fallback>
        </mc:AlternateContent>
      </w:r>
    </w:p>
    <w:tbl>
      <w:tblPr>
        <w:tblW w:w="13892" w:type="dxa"/>
        <w:tblCellMar>
          <w:left w:w="99" w:type="dxa"/>
          <w:right w:w="99" w:type="dxa"/>
        </w:tblCellMar>
        <w:tblLook w:val="04A0" w:firstRow="1" w:lastRow="0" w:firstColumn="1" w:lastColumn="0" w:noHBand="0" w:noVBand="1"/>
      </w:tblPr>
      <w:tblGrid>
        <w:gridCol w:w="2560"/>
        <w:gridCol w:w="1280"/>
        <w:gridCol w:w="1280"/>
        <w:gridCol w:w="1280"/>
        <w:gridCol w:w="1280"/>
        <w:gridCol w:w="1280"/>
        <w:gridCol w:w="1280"/>
        <w:gridCol w:w="1280"/>
        <w:gridCol w:w="2372"/>
      </w:tblGrid>
      <w:tr w:rsidR="00F26499" w:rsidRPr="00F26499" w:rsidTr="00F26499">
        <w:trPr>
          <w:trHeight w:val="540"/>
        </w:trPr>
        <w:tc>
          <w:tcPr>
            <w:tcW w:w="2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lastRenderedPageBreak/>
              <w:t>(5) 支出項目別内訳</w:t>
            </w: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2372"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F26499">
        <w:trPr>
          <w:trHeight w:val="594"/>
        </w:trPr>
        <w:tc>
          <w:tcPr>
            <w:tcW w:w="13892" w:type="dxa"/>
            <w:gridSpan w:val="9"/>
            <w:tcBorders>
              <w:top w:val="nil"/>
              <w:left w:val="nil"/>
              <w:bottom w:val="nil"/>
              <w:right w:val="nil"/>
            </w:tcBorders>
            <w:shd w:val="clear" w:color="auto" w:fill="auto"/>
            <w:vAlign w:val="center"/>
            <w:hideMark/>
          </w:tcPr>
          <w:p w:rsidR="00F26499" w:rsidRPr="00F26499" w:rsidRDefault="00F26499" w:rsidP="00F26499">
            <w:pPr>
              <w:widowControl/>
              <w:jc w:val="left"/>
              <w:rPr>
                <w:rFonts w:ascii="ＭＳ 明朝" w:eastAsia="ＭＳ 明朝" w:hAnsi="ＭＳ 明朝" w:cs="ＭＳ Ｐゴシック"/>
                <w:kern w:val="0"/>
                <w:szCs w:val="24"/>
              </w:rPr>
            </w:pPr>
            <w:r w:rsidRPr="00F26499">
              <w:rPr>
                <w:rFonts w:ascii="ＭＳ 明朝" w:eastAsia="ＭＳ 明朝" w:hAnsi="ＭＳ 明朝" w:cs="ＭＳ Ｐゴシック" w:hint="eastAsia"/>
                <w:kern w:val="0"/>
                <w:szCs w:val="24"/>
              </w:rPr>
              <w:t xml:space="preserve">　支出総額の内訳は、経常経費が２９億６００万円で、前年分（２６億５００万円）と比べ３億１００万円（１１．６％）の増加、政治活動費が６０億７，３００万円で、前年分（４１億１，０００万円）と比べ１９億６，３００万円（４７.８％）増加している。</w:t>
            </w:r>
          </w:p>
        </w:tc>
      </w:tr>
    </w:tbl>
    <w:p w:rsidR="003B7401" w:rsidRDefault="003B7401">
      <w:r>
        <w:rPr>
          <w:rFonts w:hint="eastAsia"/>
          <w:noProof/>
        </w:rPr>
        <mc:AlternateContent>
          <mc:Choice Requires="wps">
            <w:drawing>
              <wp:anchor distT="0" distB="0" distL="114300" distR="114300" simplePos="0" relativeHeight="251666432" behindDoc="0" locked="0" layoutInCell="1" allowOverlap="1" wp14:anchorId="25F7C51D" wp14:editId="2D51A986">
                <wp:simplePos x="0" y="0"/>
                <wp:positionH relativeFrom="column">
                  <wp:posOffset>5244465</wp:posOffset>
                </wp:positionH>
                <wp:positionV relativeFrom="paragraph">
                  <wp:posOffset>417342</wp:posOffset>
                </wp:positionV>
                <wp:extent cx="3631223" cy="1046285"/>
                <wp:effectExtent l="0" t="0" r="7620" b="1905"/>
                <wp:wrapNone/>
                <wp:docPr id="22" name="テキスト ボックス 22"/>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Pr="004B77BD"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千円単位で四捨五入しているため、合計欄と表中の計が一致しない場合がある。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C51D" id="テキスト ボックス 22" o:spid="_x0000_s1030" type="#_x0000_t202" style="position:absolute;left:0;text-align:left;margin-left:412.95pt;margin-top:32.85pt;width:285.9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" fillcolor="white [3201]" stroked="f" strokeweight=".5pt">
                <v:textbo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Pr="004B77BD" w:rsidRDefault="003B7401" w:rsidP="003B7401">
                      <w:pPr>
                        <w:rPr>
                          <w:rFonts w:ascii="ＭＳ 明朝" w:eastAsia="ＭＳ 明朝" w:hAnsi="ＭＳ 明朝" w:cs="ＭＳ Ｐゴシック" w:hint="eastAsia"/>
                          <w:kern w:val="0"/>
                          <w:sz w:val="18"/>
                          <w:szCs w:val="24"/>
                        </w:rPr>
                      </w:pPr>
                      <w:r w:rsidRPr="00F26499">
                        <w:rPr>
                          <w:rFonts w:ascii="ＭＳ 明朝" w:eastAsia="ＭＳ 明朝" w:hAnsi="ＭＳ 明朝" w:cs="ＭＳ Ｐゴシック" w:hint="eastAsia"/>
                          <w:kern w:val="0"/>
                          <w:sz w:val="18"/>
                          <w:szCs w:val="24"/>
                        </w:rPr>
                        <w:t>※　千円単位で四捨五入しているため、合計欄と表中の計が一致しない場合がある。</w:t>
                      </w:r>
                    </w:p>
                  </w:txbxContent>
                </v:textbox>
              </v:shape>
            </w:pict>
          </mc:Fallback>
        </mc:AlternateContent>
      </w:r>
      <w:r w:rsidRPr="003B7401">
        <w:rPr>
          <w:rFonts w:hint="eastAsia"/>
          <w:noProof/>
        </w:rPr>
        <w:drawing>
          <wp:inline distT="0" distB="0" distL="0" distR="0">
            <wp:extent cx="5134708" cy="337360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318" cy="3398316"/>
                    </a:xfrm>
                    <a:prstGeom prst="rect">
                      <a:avLst/>
                    </a:prstGeom>
                    <a:noFill/>
                    <a:ln>
                      <a:noFill/>
                    </a:ln>
                  </pic:spPr>
                </pic:pic>
              </a:graphicData>
            </a:graphic>
          </wp:inline>
        </w:drawing>
      </w:r>
    </w:p>
    <w:p w:rsidR="003B7401" w:rsidRDefault="003B7401"/>
    <w:p w:rsidR="00F26499" w:rsidRDefault="003B7401">
      <w:r>
        <w:rPr>
          <w:rFonts w:hint="eastAsia"/>
          <w:noProof/>
        </w:rPr>
        <w:lastRenderedPageBreak/>
        <mc:AlternateContent>
          <mc:Choice Requires="wps">
            <w:drawing>
              <wp:anchor distT="0" distB="0" distL="114300" distR="114300" simplePos="0" relativeHeight="251668480" behindDoc="0" locked="0" layoutInCell="1" allowOverlap="1" wp14:anchorId="2D850134" wp14:editId="628BE448">
                <wp:simplePos x="0" y="0"/>
                <wp:positionH relativeFrom="column">
                  <wp:posOffset>1319</wp:posOffset>
                </wp:positionH>
                <wp:positionV relativeFrom="paragraph">
                  <wp:posOffset>3658919</wp:posOffset>
                </wp:positionV>
                <wp:extent cx="7218484" cy="1045845"/>
                <wp:effectExtent l="0" t="0" r="1905" b="1905"/>
                <wp:wrapNone/>
                <wp:docPr id="23" name="テキスト ボックス 23"/>
                <wp:cNvGraphicFramePr/>
                <a:graphic xmlns:a="http://schemas.openxmlformats.org/drawingml/2006/main">
                  <a:graphicData uri="http://schemas.microsoft.com/office/word/2010/wordprocessingShape">
                    <wps:wsp>
                      <wps:cNvSpPr txBox="1"/>
                      <wps:spPr>
                        <a:xfrm>
                          <a:off x="0" y="0"/>
                          <a:ext cx="7218484" cy="1045845"/>
                        </a:xfrm>
                        <a:prstGeom prst="rect">
                          <a:avLst/>
                        </a:prstGeom>
                        <a:solidFill>
                          <a:schemeClr val="lt1"/>
                        </a:solidFill>
                        <a:ln w="6350">
                          <a:noFill/>
                        </a:ln>
                      </wps:spPr>
                      <wps:txb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千円単位で四捨五入しているため、合計欄と表中の計が一致しない場合がある。</w:t>
                            </w:r>
                          </w:p>
                          <w:p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0134" id="テキスト ボックス 23" o:spid="_x0000_s1031" type="#_x0000_t202" style="position:absolute;left:0;text-align:left;margin-left:.1pt;margin-top:288.1pt;width:568.4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" fillcolor="white [3201]" stroked="f" strokeweight=".5pt">
                <v:textbox>
                  <w:txbxContent>
                    <w:p w:rsidR="003B7401" w:rsidRDefault="003B7401" w:rsidP="003B7401">
                      <w:pPr>
                        <w:rPr>
                          <w:rFonts w:ascii="ＭＳ 明朝" w:eastAsia="ＭＳ 明朝" w:hAnsi="ＭＳ 明朝" w:cs="ＭＳ Ｐゴシック"/>
                          <w:kern w:val="0"/>
                          <w:sz w:val="18"/>
                          <w:szCs w:val="24"/>
                        </w:rPr>
                      </w:pPr>
                      <w:bookmarkStart w:id="1" w:name="_GoBack"/>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千円単位で四捨五入しているため、合計欄と表中の計が一致しない場合がある。</w:t>
                      </w:r>
                    </w:p>
                    <w:p w:rsidR="003B7401" w:rsidRPr="004B77BD" w:rsidRDefault="003B7401" w:rsidP="003B7401">
                      <w:pPr>
                        <w:rPr>
                          <w:rFonts w:ascii="ＭＳ 明朝" w:eastAsia="ＭＳ 明朝" w:hAnsi="ＭＳ 明朝" w:cs="ＭＳ Ｐゴシック" w:hint="eastAsia"/>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bookmarkEnd w:id="1"/>
                    </w:p>
                  </w:txbxContent>
                </v:textbox>
              </v:shape>
            </w:pict>
          </mc:Fallback>
        </mc:AlternateContent>
      </w:r>
      <w:r w:rsidRPr="003B7401">
        <w:rPr>
          <w:rFonts w:hint="eastAsia"/>
          <w:noProof/>
        </w:rPr>
        <w:drawing>
          <wp:inline distT="0" distB="0" distL="0" distR="0">
            <wp:extent cx="8218872" cy="350813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563" cy="3526353"/>
                    </a:xfrm>
                    <a:prstGeom prst="rect">
                      <a:avLst/>
                    </a:prstGeom>
                    <a:noFill/>
                    <a:ln>
                      <a:noFill/>
                    </a:ln>
                  </pic:spPr>
                </pic:pic>
              </a:graphicData>
            </a:graphic>
          </wp:inline>
        </w:drawing>
      </w:r>
    </w:p>
    <w:p w:rsidR="003B7401" w:rsidRPr="00F26499" w:rsidRDefault="003B7401"/>
    <w:sectPr w:rsidR="003B7401" w:rsidRPr="00F26499" w:rsidSect="004B77B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BD"/>
    <w:rsid w:val="000E59D0"/>
    <w:rsid w:val="003B7401"/>
    <w:rsid w:val="004B77BD"/>
    <w:rsid w:val="00584FE3"/>
    <w:rsid w:val="007D2112"/>
    <w:rsid w:val="008A246F"/>
    <w:rsid w:val="009B0E0F"/>
    <w:rsid w:val="00B06A8A"/>
    <w:rsid w:val="00B17AF1"/>
    <w:rsid w:val="00B60205"/>
    <w:rsid w:val="00C63FC7"/>
    <w:rsid w:val="00D62545"/>
    <w:rsid w:val="00EE51D9"/>
    <w:rsid w:val="00F26499"/>
    <w:rsid w:val="00FE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F62E93-EBD9-4AA5-BDD7-C74D939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1750">
      <w:bodyDiv w:val="1"/>
      <w:marLeft w:val="0"/>
      <w:marRight w:val="0"/>
      <w:marTop w:val="0"/>
      <w:marBottom w:val="0"/>
      <w:divBdr>
        <w:top w:val="none" w:sz="0" w:space="0" w:color="auto"/>
        <w:left w:val="none" w:sz="0" w:space="0" w:color="auto"/>
        <w:bottom w:val="none" w:sz="0" w:space="0" w:color="auto"/>
        <w:right w:val="none" w:sz="0" w:space="0" w:color="auto"/>
      </w:divBdr>
    </w:div>
    <w:div w:id="347417247">
      <w:bodyDiv w:val="1"/>
      <w:marLeft w:val="0"/>
      <w:marRight w:val="0"/>
      <w:marTop w:val="0"/>
      <w:marBottom w:val="0"/>
      <w:divBdr>
        <w:top w:val="none" w:sz="0" w:space="0" w:color="auto"/>
        <w:left w:val="none" w:sz="0" w:space="0" w:color="auto"/>
        <w:bottom w:val="none" w:sz="0" w:space="0" w:color="auto"/>
        <w:right w:val="none" w:sz="0" w:space="0" w:color="auto"/>
      </w:divBdr>
    </w:div>
    <w:div w:id="426120042">
      <w:bodyDiv w:val="1"/>
      <w:marLeft w:val="0"/>
      <w:marRight w:val="0"/>
      <w:marTop w:val="0"/>
      <w:marBottom w:val="0"/>
      <w:divBdr>
        <w:top w:val="none" w:sz="0" w:space="0" w:color="auto"/>
        <w:left w:val="none" w:sz="0" w:space="0" w:color="auto"/>
        <w:bottom w:val="none" w:sz="0" w:space="0" w:color="auto"/>
        <w:right w:val="none" w:sz="0" w:space="0" w:color="auto"/>
      </w:divBdr>
    </w:div>
    <w:div w:id="430515504">
      <w:bodyDiv w:val="1"/>
      <w:marLeft w:val="0"/>
      <w:marRight w:val="0"/>
      <w:marTop w:val="0"/>
      <w:marBottom w:val="0"/>
      <w:divBdr>
        <w:top w:val="none" w:sz="0" w:space="0" w:color="auto"/>
        <w:left w:val="none" w:sz="0" w:space="0" w:color="auto"/>
        <w:bottom w:val="none" w:sz="0" w:space="0" w:color="auto"/>
        <w:right w:val="none" w:sz="0" w:space="0" w:color="auto"/>
      </w:divBdr>
    </w:div>
    <w:div w:id="925578309">
      <w:bodyDiv w:val="1"/>
      <w:marLeft w:val="0"/>
      <w:marRight w:val="0"/>
      <w:marTop w:val="0"/>
      <w:marBottom w:val="0"/>
      <w:divBdr>
        <w:top w:val="none" w:sz="0" w:space="0" w:color="auto"/>
        <w:left w:val="none" w:sz="0" w:space="0" w:color="auto"/>
        <w:bottom w:val="none" w:sz="0" w:space="0" w:color="auto"/>
        <w:right w:val="none" w:sz="0" w:space="0" w:color="auto"/>
      </w:divBdr>
    </w:div>
    <w:div w:id="1046680114">
      <w:bodyDiv w:val="1"/>
      <w:marLeft w:val="0"/>
      <w:marRight w:val="0"/>
      <w:marTop w:val="0"/>
      <w:marBottom w:val="0"/>
      <w:divBdr>
        <w:top w:val="none" w:sz="0" w:space="0" w:color="auto"/>
        <w:left w:val="none" w:sz="0" w:space="0" w:color="auto"/>
        <w:bottom w:val="none" w:sz="0" w:space="0" w:color="auto"/>
        <w:right w:val="none" w:sz="0" w:space="0" w:color="auto"/>
      </w:divBdr>
    </w:div>
    <w:div w:id="1166824738">
      <w:bodyDiv w:val="1"/>
      <w:marLeft w:val="0"/>
      <w:marRight w:val="0"/>
      <w:marTop w:val="0"/>
      <w:marBottom w:val="0"/>
      <w:divBdr>
        <w:top w:val="none" w:sz="0" w:space="0" w:color="auto"/>
        <w:left w:val="none" w:sz="0" w:space="0" w:color="auto"/>
        <w:bottom w:val="none" w:sz="0" w:space="0" w:color="auto"/>
        <w:right w:val="none" w:sz="0" w:space="0" w:color="auto"/>
      </w:divBdr>
    </w:div>
    <w:div w:id="1214536621">
      <w:bodyDiv w:val="1"/>
      <w:marLeft w:val="0"/>
      <w:marRight w:val="0"/>
      <w:marTop w:val="0"/>
      <w:marBottom w:val="0"/>
      <w:divBdr>
        <w:top w:val="none" w:sz="0" w:space="0" w:color="auto"/>
        <w:left w:val="none" w:sz="0" w:space="0" w:color="auto"/>
        <w:bottom w:val="none" w:sz="0" w:space="0" w:color="auto"/>
        <w:right w:val="none" w:sz="0" w:space="0" w:color="auto"/>
      </w:divBdr>
    </w:div>
    <w:div w:id="1413164048">
      <w:bodyDiv w:val="1"/>
      <w:marLeft w:val="0"/>
      <w:marRight w:val="0"/>
      <w:marTop w:val="0"/>
      <w:marBottom w:val="0"/>
      <w:divBdr>
        <w:top w:val="none" w:sz="0" w:space="0" w:color="auto"/>
        <w:left w:val="none" w:sz="0" w:space="0" w:color="auto"/>
        <w:bottom w:val="none" w:sz="0" w:space="0" w:color="auto"/>
        <w:right w:val="none" w:sz="0" w:space="0" w:color="auto"/>
      </w:divBdr>
    </w:div>
    <w:div w:id="1487278851">
      <w:bodyDiv w:val="1"/>
      <w:marLeft w:val="0"/>
      <w:marRight w:val="0"/>
      <w:marTop w:val="0"/>
      <w:marBottom w:val="0"/>
      <w:divBdr>
        <w:top w:val="none" w:sz="0" w:space="0" w:color="auto"/>
        <w:left w:val="none" w:sz="0" w:space="0" w:color="auto"/>
        <w:bottom w:val="none" w:sz="0" w:space="0" w:color="auto"/>
        <w:right w:val="none" w:sz="0" w:space="0" w:color="auto"/>
      </w:divBdr>
    </w:div>
    <w:div w:id="1692295698">
      <w:bodyDiv w:val="1"/>
      <w:marLeft w:val="0"/>
      <w:marRight w:val="0"/>
      <w:marTop w:val="0"/>
      <w:marBottom w:val="0"/>
      <w:divBdr>
        <w:top w:val="none" w:sz="0" w:space="0" w:color="auto"/>
        <w:left w:val="none" w:sz="0" w:space="0" w:color="auto"/>
        <w:bottom w:val="none" w:sz="0" w:space="0" w:color="auto"/>
        <w:right w:val="none" w:sz="0" w:space="0" w:color="auto"/>
      </w:divBdr>
    </w:div>
    <w:div w:id="1741489010">
      <w:bodyDiv w:val="1"/>
      <w:marLeft w:val="0"/>
      <w:marRight w:val="0"/>
      <w:marTop w:val="0"/>
      <w:marBottom w:val="0"/>
      <w:divBdr>
        <w:top w:val="none" w:sz="0" w:space="0" w:color="auto"/>
        <w:left w:val="none" w:sz="0" w:space="0" w:color="auto"/>
        <w:bottom w:val="none" w:sz="0" w:space="0" w:color="auto"/>
        <w:right w:val="none" w:sz="0" w:space="0" w:color="auto"/>
      </w:divBdr>
    </w:div>
    <w:div w:id="1772899262">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F80C-BCF3-47D3-A365-19A9E1A8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正信</dc:creator>
  <cp:keywords/>
  <dc:description/>
  <cp:lastModifiedBy>林　正信</cp:lastModifiedBy>
  <cp:revision>11</cp:revision>
  <dcterms:created xsi:type="dcterms:W3CDTF">2020-10-22T05:19:00Z</dcterms:created>
  <dcterms:modified xsi:type="dcterms:W3CDTF">2020-11-16T04:54:00Z</dcterms:modified>
</cp:coreProperties>
</file>