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972A5" w:rsidRPr="00F1210F" w:rsidRDefault="009A7B3F">
      <w:pPr>
        <w:rPr>
          <w:rFonts w:ascii="游ゴシック" w:eastAsia="游ゴシック" w:hAnsi="游ゴシック"/>
          <w:b/>
        </w:rPr>
      </w:pPr>
      <w:r w:rsidRPr="00F1210F">
        <w:rPr>
          <w:rFonts w:ascii="游ゴシック" w:eastAsia="游ゴシック" w:hAnsi="游ゴシック"/>
          <w:b/>
          <w:noProof/>
          <w:sz w:val="28"/>
        </w:rPr>
        <mc:AlternateContent>
          <mc:Choice Requires="wps">
            <w:drawing>
              <wp:anchor distT="45720" distB="45720" distL="114300" distR="114300" simplePos="0" relativeHeight="251659264" behindDoc="0" locked="0" layoutInCell="1" allowOverlap="1">
                <wp:simplePos x="0" y="0"/>
                <wp:positionH relativeFrom="column">
                  <wp:posOffset>12339320</wp:posOffset>
                </wp:positionH>
                <wp:positionV relativeFrom="paragraph">
                  <wp:posOffset>-283210</wp:posOffset>
                </wp:positionV>
                <wp:extent cx="1362075" cy="4762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76250"/>
                        </a:xfrm>
                        <a:prstGeom prst="rect">
                          <a:avLst/>
                        </a:prstGeom>
                        <a:solidFill>
                          <a:srgbClr val="FFFFFF"/>
                        </a:solidFill>
                        <a:ln w="9525">
                          <a:solidFill>
                            <a:srgbClr val="000000"/>
                          </a:solidFill>
                          <a:miter lim="800000"/>
                          <a:headEnd/>
                          <a:tailEnd/>
                        </a:ln>
                      </wps:spPr>
                      <wps:txbx>
                        <w:txbxContent>
                          <w:p w:rsidR="009A7B3F" w:rsidRPr="003F1D38" w:rsidRDefault="009A7B3F" w:rsidP="00CE5E4B">
                            <w:pPr>
                              <w:spacing w:line="400" w:lineRule="exact"/>
                              <w:jc w:val="center"/>
                              <w:rPr>
                                <w:rFonts w:ascii="游ゴシック" w:eastAsia="游ゴシック" w:hAnsi="游ゴシック"/>
                                <w:b/>
                                <w:sz w:val="32"/>
                              </w:rPr>
                            </w:pPr>
                            <w:r w:rsidRPr="00CE5E4B">
                              <w:rPr>
                                <w:rFonts w:ascii="游ゴシック" w:eastAsia="游ゴシック" w:hAnsi="游ゴシック" w:hint="eastAsia"/>
                                <w:b/>
                                <w:sz w:val="32"/>
                              </w:rPr>
                              <w:t>資料</w:t>
                            </w:r>
                            <w:r w:rsidR="007D69AD">
                              <w:rPr>
                                <w:rFonts w:ascii="游ゴシック" w:eastAsia="游ゴシック" w:hAnsi="游ゴシック" w:hint="eastAsia"/>
                                <w:b/>
                                <w:sz w:val="32"/>
                              </w:rPr>
                              <w:t>１</w:t>
                            </w:r>
                            <w:r w:rsidR="009441AE">
                              <w:rPr>
                                <w:rFonts w:ascii="游ゴシック" w:eastAsia="游ゴシック" w:hAnsi="游ゴシック" w:hint="eastAsia"/>
                                <w:b/>
                                <w:sz w:val="32"/>
                              </w:rPr>
                              <w:t>－１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71.6pt;margin-top:-22.3pt;width:107.25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">
                <v:textbox>
                  <w:txbxContent>
                    <w:p w:rsidR="009A7B3F" w:rsidRPr="003F1D38" w:rsidRDefault="009A7B3F" w:rsidP="00CE5E4B">
                      <w:pPr>
                        <w:spacing w:line="400" w:lineRule="exact"/>
                        <w:jc w:val="center"/>
                        <w:rPr>
                          <w:rFonts w:ascii="游ゴシック" w:eastAsia="游ゴシック" w:hAnsi="游ゴシック"/>
                          <w:b/>
                          <w:sz w:val="32"/>
                        </w:rPr>
                      </w:pPr>
                      <w:r w:rsidRPr="00CE5E4B">
                        <w:rPr>
                          <w:rFonts w:ascii="游ゴシック" w:eastAsia="游ゴシック" w:hAnsi="游ゴシック" w:hint="eastAsia"/>
                          <w:b/>
                          <w:sz w:val="32"/>
                        </w:rPr>
                        <w:t>資料</w:t>
                      </w:r>
                      <w:r w:rsidR="007D69AD">
                        <w:rPr>
                          <w:rFonts w:ascii="游ゴシック" w:eastAsia="游ゴシック" w:hAnsi="游ゴシック" w:hint="eastAsia"/>
                          <w:b/>
                          <w:sz w:val="32"/>
                        </w:rPr>
                        <w:t>１</w:t>
                      </w:r>
                      <w:r w:rsidR="009441AE">
                        <w:rPr>
                          <w:rFonts w:ascii="游ゴシック" w:eastAsia="游ゴシック" w:hAnsi="游ゴシック" w:hint="eastAsia"/>
                          <w:b/>
                          <w:sz w:val="32"/>
                        </w:rPr>
                        <w:t>－１</w:t>
                      </w:r>
                    </w:p>
                  </w:txbxContent>
                </v:textbox>
              </v:shape>
            </w:pict>
          </mc:Fallback>
        </mc:AlternateContent>
      </w:r>
      <w:r w:rsidR="008202F5" w:rsidRPr="00F1210F">
        <w:rPr>
          <w:rFonts w:ascii="游ゴシック" w:eastAsia="游ゴシック" w:hAnsi="游ゴシック" w:hint="eastAsia"/>
          <w:b/>
          <w:sz w:val="28"/>
        </w:rPr>
        <w:t>現行計画の達成状況について（</w:t>
      </w:r>
      <w:r w:rsidR="00CF466F" w:rsidRPr="00F1210F">
        <w:rPr>
          <w:rFonts w:ascii="游ゴシック" w:eastAsia="游ゴシック" w:hAnsi="游ゴシック" w:hint="eastAsia"/>
          <w:b/>
          <w:sz w:val="28"/>
        </w:rPr>
        <w:t>産業</w:t>
      </w:r>
      <w:r w:rsidR="008202F5" w:rsidRPr="00F1210F">
        <w:rPr>
          <w:rFonts w:ascii="游ゴシック" w:eastAsia="游ゴシック" w:hAnsi="游ゴシック" w:hint="eastAsia"/>
          <w:b/>
          <w:sz w:val="28"/>
        </w:rPr>
        <w:t>廃棄物）</w:t>
      </w:r>
    </w:p>
    <w:tbl>
      <w:tblPr>
        <w:tblStyle w:val="a3"/>
        <w:tblW w:w="21541" w:type="dxa"/>
        <w:tblLook w:val="04A0" w:firstRow="1" w:lastRow="0" w:firstColumn="1" w:lastColumn="0" w:noHBand="0" w:noVBand="1"/>
      </w:tblPr>
      <w:tblGrid>
        <w:gridCol w:w="279"/>
        <w:gridCol w:w="1617"/>
        <w:gridCol w:w="1480"/>
        <w:gridCol w:w="1260"/>
        <w:gridCol w:w="1596"/>
        <w:gridCol w:w="7513"/>
        <w:gridCol w:w="7796"/>
      </w:tblGrid>
      <w:tr w:rsidR="002E124B" w:rsidRPr="00F1210F" w:rsidTr="00BA1FCC">
        <w:trPr>
          <w:trHeight w:val="700"/>
        </w:trPr>
        <w:tc>
          <w:tcPr>
            <w:tcW w:w="1896" w:type="dxa"/>
            <w:gridSpan w:val="2"/>
            <w:tcBorders>
              <w:bottom w:val="double" w:sz="4" w:space="0" w:color="auto"/>
              <w:tl2br w:val="single" w:sz="4" w:space="0" w:color="auto"/>
            </w:tcBorders>
          </w:tcPr>
          <w:p w:rsidR="002E124B" w:rsidRPr="00F1210F" w:rsidRDefault="002E124B" w:rsidP="00870912">
            <w:pPr>
              <w:ind w:firstLineChars="550" w:firstLine="1155"/>
              <w:jc w:val="right"/>
              <w:rPr>
                <w:rFonts w:ascii="游ゴシック" w:eastAsia="游ゴシック" w:hAnsi="游ゴシック"/>
              </w:rPr>
            </w:pPr>
            <w:r w:rsidRPr="00F1210F">
              <w:rPr>
                <w:rFonts w:ascii="游ゴシック" w:eastAsia="游ゴシック" w:hAnsi="游ゴシック" w:hint="eastAsia"/>
              </w:rPr>
              <w:t>年度</w:t>
            </w:r>
          </w:p>
          <w:p w:rsidR="00870912" w:rsidRPr="00F1210F" w:rsidRDefault="00870912" w:rsidP="00870912">
            <w:pPr>
              <w:ind w:firstLineChars="550" w:firstLine="1155"/>
              <w:jc w:val="right"/>
              <w:rPr>
                <w:rFonts w:ascii="游ゴシック" w:eastAsia="游ゴシック" w:hAnsi="游ゴシック"/>
              </w:rPr>
            </w:pPr>
          </w:p>
          <w:p w:rsidR="002E124B" w:rsidRPr="00F1210F" w:rsidRDefault="002E124B" w:rsidP="008202F5">
            <w:pPr>
              <w:rPr>
                <w:rFonts w:ascii="游ゴシック" w:eastAsia="游ゴシック" w:hAnsi="游ゴシック"/>
              </w:rPr>
            </w:pPr>
            <w:r w:rsidRPr="00F1210F">
              <w:rPr>
                <w:rFonts w:ascii="游ゴシック" w:eastAsia="游ゴシック" w:hAnsi="游ゴシック" w:hint="eastAsia"/>
              </w:rPr>
              <w:t>目標項目</w:t>
            </w:r>
          </w:p>
        </w:tc>
        <w:tc>
          <w:tcPr>
            <w:tcW w:w="1480" w:type="dxa"/>
            <w:tcBorders>
              <w:bottom w:val="double" w:sz="4" w:space="0" w:color="auto"/>
            </w:tcBorders>
          </w:tcPr>
          <w:p w:rsidR="002E124B" w:rsidRPr="00F1210F" w:rsidRDefault="00F315CC" w:rsidP="00A179A9">
            <w:pPr>
              <w:jc w:val="center"/>
              <w:rPr>
                <w:rFonts w:ascii="游ゴシック" w:eastAsia="游ゴシック" w:hAnsi="游ゴシック"/>
              </w:rPr>
            </w:pPr>
            <w:r w:rsidRPr="00F1210F">
              <w:rPr>
                <w:rFonts w:ascii="游ゴシック" w:eastAsia="游ゴシック" w:hAnsi="游ゴシック" w:hint="eastAsia"/>
              </w:rPr>
              <w:t>H26年度(</w:t>
            </w:r>
            <w:r w:rsidR="002E124B" w:rsidRPr="00F1210F">
              <w:rPr>
                <w:rFonts w:ascii="游ゴシック" w:eastAsia="游ゴシック" w:hAnsi="游ゴシック" w:hint="eastAsia"/>
              </w:rPr>
              <w:t>2014</w:t>
            </w:r>
            <w:r w:rsidRPr="00F1210F">
              <w:rPr>
                <w:rFonts w:ascii="游ゴシック" w:eastAsia="游ゴシック" w:hAnsi="游ゴシック"/>
              </w:rPr>
              <w:t>)</w:t>
            </w:r>
          </w:p>
          <w:p w:rsidR="002E124B" w:rsidRPr="00F1210F" w:rsidRDefault="002E124B" w:rsidP="00A179A9">
            <w:pPr>
              <w:jc w:val="center"/>
              <w:rPr>
                <w:rFonts w:ascii="游ゴシック" w:eastAsia="游ゴシック" w:hAnsi="游ゴシック"/>
              </w:rPr>
            </w:pPr>
            <w:r w:rsidRPr="00F1210F">
              <w:rPr>
                <w:rFonts w:ascii="游ゴシック" w:eastAsia="游ゴシック" w:hAnsi="游ゴシック" w:hint="eastAsia"/>
              </w:rPr>
              <w:t>【基準】</w:t>
            </w:r>
          </w:p>
        </w:tc>
        <w:tc>
          <w:tcPr>
            <w:tcW w:w="1260" w:type="dxa"/>
            <w:tcBorders>
              <w:bottom w:val="double" w:sz="4" w:space="0" w:color="auto"/>
            </w:tcBorders>
          </w:tcPr>
          <w:p w:rsidR="00F315CC" w:rsidRPr="00F1210F" w:rsidRDefault="00F315CC" w:rsidP="00A179A9">
            <w:pPr>
              <w:jc w:val="center"/>
              <w:rPr>
                <w:rFonts w:ascii="游ゴシック" w:eastAsia="游ゴシック" w:hAnsi="游ゴシック"/>
                <w:b/>
              </w:rPr>
            </w:pPr>
            <w:r w:rsidRPr="00F1210F">
              <w:rPr>
                <w:rFonts w:ascii="游ゴシック" w:eastAsia="游ゴシック" w:hAnsi="游ゴシック" w:hint="eastAsia"/>
                <w:b/>
              </w:rPr>
              <w:t>R2年度</w:t>
            </w:r>
          </w:p>
          <w:p w:rsidR="002E124B" w:rsidRPr="00F1210F" w:rsidRDefault="00F315CC" w:rsidP="00A179A9">
            <w:pPr>
              <w:jc w:val="center"/>
              <w:rPr>
                <w:rFonts w:ascii="游ゴシック" w:eastAsia="游ゴシック" w:hAnsi="游ゴシック"/>
                <w:b/>
              </w:rPr>
            </w:pPr>
            <w:r w:rsidRPr="00F1210F">
              <w:rPr>
                <w:rFonts w:ascii="游ゴシック" w:eastAsia="游ゴシック" w:hAnsi="游ゴシック"/>
                <w:b/>
              </w:rPr>
              <w:t>(</w:t>
            </w:r>
            <w:r w:rsidR="002E124B" w:rsidRPr="00F1210F">
              <w:rPr>
                <w:rFonts w:ascii="游ゴシック" w:eastAsia="游ゴシック" w:hAnsi="游ゴシック" w:hint="eastAsia"/>
                <w:b/>
              </w:rPr>
              <w:t>2020</w:t>
            </w:r>
            <w:r w:rsidRPr="00F1210F">
              <w:rPr>
                <w:rFonts w:ascii="游ゴシック" w:eastAsia="游ゴシック" w:hAnsi="游ゴシック"/>
                <w:b/>
              </w:rPr>
              <w:t>)</w:t>
            </w:r>
          </w:p>
          <w:p w:rsidR="002E124B" w:rsidRPr="00F1210F" w:rsidRDefault="002E124B" w:rsidP="00A179A9">
            <w:pPr>
              <w:jc w:val="center"/>
              <w:rPr>
                <w:rFonts w:ascii="游ゴシック" w:eastAsia="游ゴシック" w:hAnsi="游ゴシック"/>
                <w:b/>
              </w:rPr>
            </w:pPr>
            <w:r w:rsidRPr="00F1210F">
              <w:rPr>
                <w:rFonts w:ascii="游ゴシック" w:eastAsia="游ゴシック" w:hAnsi="游ゴシック" w:hint="eastAsia"/>
                <w:b/>
              </w:rPr>
              <w:t>【目標】</w:t>
            </w:r>
          </w:p>
        </w:tc>
        <w:tc>
          <w:tcPr>
            <w:tcW w:w="1596" w:type="dxa"/>
            <w:tcBorders>
              <w:bottom w:val="double" w:sz="4" w:space="0" w:color="auto"/>
            </w:tcBorders>
          </w:tcPr>
          <w:p w:rsidR="00F315CC" w:rsidRPr="00F1210F" w:rsidRDefault="00F315CC" w:rsidP="00A179A9">
            <w:pPr>
              <w:jc w:val="center"/>
              <w:rPr>
                <w:rFonts w:ascii="游ゴシック" w:eastAsia="游ゴシック" w:hAnsi="游ゴシック"/>
                <w:b/>
              </w:rPr>
            </w:pPr>
            <w:r w:rsidRPr="00F1210F">
              <w:rPr>
                <w:rFonts w:ascii="游ゴシック" w:eastAsia="游ゴシック" w:hAnsi="游ゴシック" w:hint="eastAsia"/>
                <w:b/>
              </w:rPr>
              <w:t>R1年度</w:t>
            </w:r>
          </w:p>
          <w:p w:rsidR="002E124B" w:rsidRPr="00F1210F" w:rsidRDefault="00F315CC" w:rsidP="00A179A9">
            <w:pPr>
              <w:jc w:val="center"/>
              <w:rPr>
                <w:rFonts w:ascii="游ゴシック" w:eastAsia="游ゴシック" w:hAnsi="游ゴシック"/>
                <w:b/>
              </w:rPr>
            </w:pPr>
            <w:r w:rsidRPr="00F1210F">
              <w:rPr>
                <w:rFonts w:ascii="游ゴシック" w:eastAsia="游ゴシック" w:hAnsi="游ゴシック"/>
                <w:b/>
              </w:rPr>
              <w:t>(</w:t>
            </w:r>
            <w:r w:rsidR="002E124B" w:rsidRPr="00F1210F">
              <w:rPr>
                <w:rFonts w:ascii="游ゴシック" w:eastAsia="游ゴシック" w:hAnsi="游ゴシック" w:hint="eastAsia"/>
                <w:b/>
              </w:rPr>
              <w:t>2019</w:t>
            </w:r>
            <w:r w:rsidRPr="00F1210F">
              <w:rPr>
                <w:rFonts w:ascii="游ゴシック" w:eastAsia="游ゴシック" w:hAnsi="游ゴシック"/>
                <w:b/>
              </w:rPr>
              <w:t>)</w:t>
            </w:r>
          </w:p>
          <w:p w:rsidR="002E124B" w:rsidRPr="00F1210F" w:rsidRDefault="002E124B" w:rsidP="00A179A9">
            <w:pPr>
              <w:jc w:val="center"/>
              <w:rPr>
                <w:rFonts w:ascii="游ゴシック" w:eastAsia="游ゴシック" w:hAnsi="游ゴシック"/>
                <w:b/>
              </w:rPr>
            </w:pPr>
            <w:r w:rsidRPr="00F1210F">
              <w:rPr>
                <w:rFonts w:ascii="游ゴシック" w:eastAsia="游ゴシック" w:hAnsi="游ゴシック" w:hint="eastAsia"/>
                <w:b/>
              </w:rPr>
              <w:t>【速報】</w:t>
            </w:r>
          </w:p>
          <w:p w:rsidR="00DC03DD" w:rsidRPr="00F1210F" w:rsidRDefault="00DC03DD" w:rsidP="00DC03DD">
            <w:pPr>
              <w:ind w:leftChars="-36" w:left="-76" w:rightChars="-48" w:right="-101"/>
              <w:jc w:val="center"/>
              <w:rPr>
                <w:rFonts w:ascii="游ゴシック" w:eastAsia="游ゴシック" w:hAnsi="游ゴシック"/>
                <w:spacing w:val="-4"/>
                <w:sz w:val="18"/>
              </w:rPr>
            </w:pPr>
            <w:r w:rsidRPr="00F1210F">
              <w:rPr>
                <w:rFonts w:ascii="游ゴシック" w:eastAsia="游ゴシック" w:hAnsi="游ゴシック" w:hint="eastAsia"/>
                <w:spacing w:val="-4"/>
                <w:sz w:val="18"/>
              </w:rPr>
              <w:t>(　)は目標値との差</w:t>
            </w:r>
          </w:p>
        </w:tc>
        <w:tc>
          <w:tcPr>
            <w:tcW w:w="7513" w:type="dxa"/>
            <w:tcBorders>
              <w:bottom w:val="double" w:sz="4" w:space="0" w:color="auto"/>
            </w:tcBorders>
            <w:vAlign w:val="center"/>
          </w:tcPr>
          <w:p w:rsidR="002E124B" w:rsidRPr="00F1210F" w:rsidRDefault="002E124B" w:rsidP="009A7B3F">
            <w:pPr>
              <w:jc w:val="center"/>
              <w:rPr>
                <w:rFonts w:ascii="游ゴシック" w:eastAsia="游ゴシック" w:hAnsi="游ゴシック"/>
              </w:rPr>
            </w:pPr>
            <w:r w:rsidRPr="00F1210F">
              <w:rPr>
                <w:rFonts w:ascii="游ゴシック" w:eastAsia="游ゴシック" w:hAnsi="游ゴシック" w:hint="eastAsia"/>
              </w:rPr>
              <w:t>現行計画に基づく対策の結果と評価</w:t>
            </w:r>
          </w:p>
        </w:tc>
        <w:tc>
          <w:tcPr>
            <w:tcW w:w="7796" w:type="dxa"/>
            <w:tcBorders>
              <w:bottom w:val="double" w:sz="4" w:space="0" w:color="auto"/>
            </w:tcBorders>
            <w:vAlign w:val="center"/>
          </w:tcPr>
          <w:p w:rsidR="002E124B" w:rsidRPr="00F1210F" w:rsidRDefault="002E124B" w:rsidP="009A7B3F">
            <w:pPr>
              <w:jc w:val="center"/>
              <w:rPr>
                <w:rFonts w:ascii="游ゴシック" w:eastAsia="游ゴシック" w:hAnsi="游ゴシック"/>
              </w:rPr>
            </w:pPr>
            <w:r w:rsidRPr="00F1210F">
              <w:rPr>
                <w:rFonts w:ascii="游ゴシック" w:eastAsia="游ゴシック" w:hAnsi="游ゴシック" w:hint="eastAsia"/>
              </w:rPr>
              <w:t>計画期間の主な取組</w:t>
            </w:r>
            <w:r w:rsidR="00354BF4">
              <w:rPr>
                <w:rFonts w:ascii="游ゴシック" w:eastAsia="游ゴシック" w:hAnsi="游ゴシック" w:hint="eastAsia"/>
              </w:rPr>
              <w:t>み</w:t>
            </w:r>
          </w:p>
          <w:p w:rsidR="002E124B" w:rsidRPr="00F1210F" w:rsidRDefault="002E124B" w:rsidP="009A7B3F">
            <w:pPr>
              <w:jc w:val="center"/>
              <w:rPr>
                <w:rFonts w:ascii="游ゴシック" w:eastAsia="游ゴシック" w:hAnsi="游ゴシック"/>
              </w:rPr>
            </w:pPr>
            <w:r w:rsidRPr="00F1210F">
              <w:rPr>
                <w:rFonts w:ascii="游ゴシック" w:eastAsia="游ゴシック" w:hAnsi="游ゴシック" w:hint="eastAsia"/>
              </w:rPr>
              <w:t>（2016年度～）</w:t>
            </w:r>
          </w:p>
        </w:tc>
      </w:tr>
      <w:tr w:rsidR="009F6364" w:rsidRPr="00F1210F" w:rsidTr="00BA1FCC">
        <w:trPr>
          <w:trHeight w:val="2328"/>
        </w:trPr>
        <w:tc>
          <w:tcPr>
            <w:tcW w:w="1896" w:type="dxa"/>
            <w:gridSpan w:val="2"/>
            <w:tcBorders>
              <w:top w:val="double" w:sz="4" w:space="0" w:color="auto"/>
            </w:tcBorders>
            <w:vAlign w:val="center"/>
          </w:tcPr>
          <w:p w:rsidR="009F6364" w:rsidRPr="00F1210F" w:rsidRDefault="009F6364" w:rsidP="00870912">
            <w:pPr>
              <w:jc w:val="center"/>
              <w:rPr>
                <w:rFonts w:ascii="游ゴシック" w:eastAsia="游ゴシック" w:hAnsi="游ゴシック"/>
              </w:rPr>
            </w:pPr>
            <w:r w:rsidRPr="00F1210F">
              <w:rPr>
                <w:rFonts w:ascii="游ゴシック" w:eastAsia="游ゴシック" w:hAnsi="游ゴシック" w:hint="eastAsia"/>
              </w:rPr>
              <w:t>排出量</w:t>
            </w:r>
          </w:p>
          <w:p w:rsidR="009F6364" w:rsidRPr="00F1210F" w:rsidRDefault="009F6364" w:rsidP="00870912">
            <w:pPr>
              <w:jc w:val="center"/>
              <w:rPr>
                <w:rFonts w:ascii="游ゴシック" w:eastAsia="游ゴシック" w:hAnsi="游ゴシック"/>
              </w:rPr>
            </w:pPr>
            <w:r w:rsidRPr="00F1210F">
              <w:rPr>
                <w:rFonts w:ascii="游ゴシック" w:eastAsia="游ゴシック" w:hAnsi="游ゴシック" w:hint="eastAsia"/>
              </w:rPr>
              <w:t>（万トン）</w:t>
            </w:r>
          </w:p>
        </w:tc>
        <w:tc>
          <w:tcPr>
            <w:tcW w:w="1480" w:type="dxa"/>
            <w:tcBorders>
              <w:top w:val="double" w:sz="4" w:space="0" w:color="auto"/>
            </w:tcBorders>
            <w:vAlign w:val="center"/>
          </w:tcPr>
          <w:p w:rsidR="009F6364" w:rsidRPr="00F1210F" w:rsidRDefault="009F6364" w:rsidP="00CF466F">
            <w:pPr>
              <w:jc w:val="center"/>
              <w:rPr>
                <w:rFonts w:ascii="游ゴシック" w:eastAsia="游ゴシック" w:hAnsi="游ゴシック"/>
              </w:rPr>
            </w:pPr>
            <w:r w:rsidRPr="00F1210F">
              <w:rPr>
                <w:rFonts w:ascii="游ゴシック" w:eastAsia="游ゴシック" w:hAnsi="游ゴシック" w:hint="eastAsia"/>
              </w:rPr>
              <w:t>1,518</w:t>
            </w:r>
          </w:p>
        </w:tc>
        <w:tc>
          <w:tcPr>
            <w:tcW w:w="1260" w:type="dxa"/>
            <w:tcBorders>
              <w:top w:val="double" w:sz="4" w:space="0" w:color="auto"/>
            </w:tcBorders>
            <w:vAlign w:val="center"/>
          </w:tcPr>
          <w:p w:rsidR="009F6364" w:rsidRPr="00F1210F" w:rsidRDefault="009F6364" w:rsidP="00CF466F">
            <w:pPr>
              <w:jc w:val="center"/>
              <w:rPr>
                <w:rFonts w:ascii="游ゴシック" w:eastAsia="游ゴシック" w:hAnsi="游ゴシック"/>
                <w:b/>
              </w:rPr>
            </w:pPr>
            <w:r w:rsidRPr="00F1210F">
              <w:rPr>
                <w:rFonts w:ascii="游ゴシック" w:eastAsia="游ゴシック" w:hAnsi="游ゴシック" w:hint="eastAsia"/>
                <w:b/>
              </w:rPr>
              <w:t>1,534</w:t>
            </w:r>
          </w:p>
        </w:tc>
        <w:tc>
          <w:tcPr>
            <w:tcW w:w="1596" w:type="dxa"/>
            <w:tcBorders>
              <w:top w:val="double" w:sz="4" w:space="0" w:color="auto"/>
            </w:tcBorders>
            <w:vAlign w:val="center"/>
          </w:tcPr>
          <w:p w:rsidR="0062661E" w:rsidRPr="00F1210F" w:rsidRDefault="0062661E" w:rsidP="0062661E">
            <w:pPr>
              <w:jc w:val="center"/>
              <w:rPr>
                <w:rFonts w:ascii="游ゴシック" w:eastAsia="游ゴシック" w:hAnsi="游ゴシック"/>
                <w:b/>
              </w:rPr>
            </w:pPr>
            <w:r w:rsidRPr="00F1210F">
              <w:rPr>
                <w:rFonts w:ascii="游ゴシック" w:eastAsia="游ゴシック" w:hAnsi="游ゴシック" w:hint="eastAsia"/>
                <w:b/>
              </w:rPr>
              <w:t>1,357</w:t>
            </w:r>
          </w:p>
          <w:p w:rsidR="009F6364" w:rsidRPr="00F1210F" w:rsidRDefault="0062661E" w:rsidP="0062661E">
            <w:pPr>
              <w:jc w:val="center"/>
              <w:rPr>
                <w:rFonts w:ascii="游ゴシック" w:eastAsia="游ゴシック" w:hAnsi="游ゴシック"/>
                <w:b/>
              </w:rPr>
            </w:pPr>
            <w:r w:rsidRPr="00F1210F">
              <w:rPr>
                <w:rFonts w:ascii="游ゴシック" w:eastAsia="游ゴシック" w:hAnsi="游ゴシック" w:hint="eastAsia"/>
                <w:b/>
                <w:kern w:val="0"/>
              </w:rPr>
              <w:t>（－177）</w:t>
            </w:r>
          </w:p>
        </w:tc>
        <w:tc>
          <w:tcPr>
            <w:tcW w:w="7513" w:type="dxa"/>
            <w:tcBorders>
              <w:top w:val="double" w:sz="4" w:space="0" w:color="auto"/>
            </w:tcBorders>
          </w:tcPr>
          <w:p w:rsidR="009F6364" w:rsidRPr="00F1210F" w:rsidRDefault="009F6364" w:rsidP="00D16913">
            <w:pPr>
              <w:ind w:left="210" w:hangingChars="100" w:hanging="210"/>
              <w:rPr>
                <w:rFonts w:ascii="游ゴシック" w:eastAsia="游ゴシック" w:hAnsi="游ゴシック"/>
              </w:rPr>
            </w:pPr>
            <w:r w:rsidRPr="00F1210F">
              <w:rPr>
                <w:rFonts w:ascii="游ゴシック" w:eastAsia="游ゴシック" w:hAnsi="游ゴシック" w:hint="eastAsia"/>
              </w:rPr>
              <w:t>＜排出量＞</w:t>
            </w:r>
          </w:p>
          <w:p w:rsidR="009F6364" w:rsidRPr="00F1210F" w:rsidRDefault="009F6364" w:rsidP="00765CB9">
            <w:pPr>
              <w:ind w:firstLineChars="100" w:firstLine="210"/>
              <w:rPr>
                <w:rFonts w:ascii="游ゴシック" w:eastAsia="游ゴシック" w:hAnsi="游ゴシック"/>
              </w:rPr>
            </w:pPr>
            <w:r w:rsidRPr="00F1210F">
              <w:rPr>
                <w:rFonts w:ascii="游ゴシック" w:eastAsia="游ゴシック" w:hAnsi="游ゴシック" w:hint="eastAsia"/>
              </w:rPr>
              <w:t>業種毎の排出量は、2014年度比で建設業が</w:t>
            </w:r>
            <w:r w:rsidR="00EA5942" w:rsidRPr="00F1210F">
              <w:rPr>
                <w:rFonts w:ascii="游ゴシック" w:eastAsia="游ゴシック" w:hAnsi="游ゴシック" w:hint="eastAsia"/>
              </w:rPr>
              <w:t>27</w:t>
            </w:r>
            <w:r w:rsidRPr="00F1210F">
              <w:rPr>
                <w:rFonts w:ascii="游ゴシック" w:eastAsia="游ゴシック" w:hAnsi="游ゴシック" w:hint="eastAsia"/>
              </w:rPr>
              <w:t>万トン減（－</w:t>
            </w:r>
            <w:r w:rsidR="00E54004">
              <w:rPr>
                <w:rFonts w:ascii="游ゴシック" w:eastAsia="游ゴシック" w:hAnsi="游ゴシック" w:hint="eastAsia"/>
              </w:rPr>
              <w:t>７</w:t>
            </w:r>
            <w:r w:rsidRPr="00F1210F">
              <w:rPr>
                <w:rFonts w:ascii="游ゴシック" w:eastAsia="游ゴシック" w:hAnsi="游ゴシック" w:hint="eastAsia"/>
              </w:rPr>
              <w:t>%）</w:t>
            </w:r>
            <w:r w:rsidR="00617BE7">
              <w:rPr>
                <w:rFonts w:ascii="游ゴシック" w:eastAsia="游ゴシック" w:hAnsi="游ゴシック" w:hint="eastAsia"/>
              </w:rPr>
              <w:t>、</w:t>
            </w:r>
            <w:r w:rsidR="00617BE7" w:rsidRPr="00F1210F">
              <w:rPr>
                <w:rFonts w:ascii="游ゴシック" w:eastAsia="游ゴシック" w:hAnsi="游ゴシック" w:hint="eastAsia"/>
              </w:rPr>
              <w:t>製造業が43万トン減（－17%）、電気・水道業が89万トン減（－11%）</w:t>
            </w:r>
            <w:r w:rsidRPr="00F1210F">
              <w:rPr>
                <w:rFonts w:ascii="游ゴシック" w:eastAsia="游ゴシック" w:hAnsi="游ゴシック" w:hint="eastAsia"/>
              </w:rPr>
              <w:t>とな</w:t>
            </w:r>
            <w:r w:rsidR="00807410">
              <w:rPr>
                <w:rFonts w:ascii="游ゴシック" w:eastAsia="游ゴシック" w:hAnsi="游ゴシック" w:hint="eastAsia"/>
              </w:rPr>
              <w:t>り、全体では161万トン減（－11％）とな</w:t>
            </w:r>
            <w:r w:rsidRPr="00F1210F">
              <w:rPr>
                <w:rFonts w:ascii="游ゴシック" w:eastAsia="游ゴシック" w:hAnsi="游ゴシック" w:hint="eastAsia"/>
              </w:rPr>
              <w:t>った。</w:t>
            </w:r>
          </w:p>
          <w:p w:rsidR="009F6364" w:rsidRPr="00F1210F" w:rsidRDefault="009F6364" w:rsidP="009F4500">
            <w:pPr>
              <w:ind w:firstLineChars="100" w:firstLine="210"/>
              <w:rPr>
                <w:rFonts w:ascii="游ゴシック" w:eastAsia="游ゴシック" w:hAnsi="游ゴシック"/>
              </w:rPr>
            </w:pPr>
            <w:r w:rsidRPr="00F1210F">
              <w:rPr>
                <w:rFonts w:ascii="游ゴシック" w:eastAsia="游ゴシック" w:hAnsi="游ゴシック" w:hint="eastAsia"/>
              </w:rPr>
              <w:t>建設業</w:t>
            </w:r>
            <w:r w:rsidR="00807410">
              <w:rPr>
                <w:rFonts w:ascii="游ゴシック" w:eastAsia="游ゴシック" w:hAnsi="游ゴシック" w:hint="eastAsia"/>
              </w:rPr>
              <w:t>、</w:t>
            </w:r>
            <w:r w:rsidR="00807410" w:rsidRPr="00F1210F">
              <w:rPr>
                <w:rFonts w:ascii="游ゴシック" w:eastAsia="游ゴシック" w:hAnsi="游ゴシック" w:hint="eastAsia"/>
              </w:rPr>
              <w:t>製造業</w:t>
            </w:r>
            <w:r w:rsidRPr="00F1210F">
              <w:rPr>
                <w:rFonts w:ascii="游ゴシック" w:eastAsia="游ゴシック" w:hAnsi="游ゴシック" w:hint="eastAsia"/>
              </w:rPr>
              <w:t>等</w:t>
            </w:r>
            <w:r w:rsidR="00A750BD" w:rsidRPr="00F1210F">
              <w:rPr>
                <w:rFonts w:ascii="游ゴシック" w:eastAsia="游ゴシック" w:hAnsi="游ゴシック" w:hint="eastAsia"/>
              </w:rPr>
              <w:t>、全体的な</w:t>
            </w:r>
            <w:r w:rsidR="007C12B1" w:rsidRPr="00F1210F">
              <w:rPr>
                <w:rFonts w:ascii="游ゴシック" w:eastAsia="游ゴシック" w:hAnsi="游ゴシック" w:hint="eastAsia"/>
              </w:rPr>
              <w:t>発生抑制の取</w:t>
            </w:r>
            <w:r w:rsidRPr="00F1210F">
              <w:rPr>
                <w:rFonts w:ascii="游ゴシック" w:eastAsia="游ゴシック" w:hAnsi="游ゴシック" w:hint="eastAsia"/>
              </w:rPr>
              <w:t>組みの進展が主な要因として考えられる。</w:t>
            </w:r>
          </w:p>
        </w:tc>
        <w:tc>
          <w:tcPr>
            <w:tcW w:w="7796" w:type="dxa"/>
            <w:vMerge w:val="restart"/>
            <w:tcBorders>
              <w:top w:val="double" w:sz="4" w:space="0" w:color="auto"/>
            </w:tcBorders>
          </w:tcPr>
          <w:p w:rsidR="009F6364" w:rsidRPr="00F1210F" w:rsidRDefault="009F6364" w:rsidP="003434D5">
            <w:pPr>
              <w:spacing w:line="340" w:lineRule="exact"/>
              <w:rPr>
                <w:rFonts w:ascii="游ゴシック" w:eastAsia="游ゴシック" w:hAnsi="游ゴシック"/>
                <w:b/>
              </w:rPr>
            </w:pPr>
            <w:r w:rsidRPr="00F1210F">
              <w:rPr>
                <w:rFonts w:ascii="游ゴシック" w:eastAsia="游ゴシック" w:hAnsi="游ゴシック" w:hint="eastAsia"/>
                <w:b/>
              </w:rPr>
              <w:t>＜リデュース・リユースの推進＞</w:t>
            </w:r>
          </w:p>
          <w:p w:rsidR="009F6364" w:rsidRPr="00F1210F" w:rsidRDefault="009F6364" w:rsidP="003434D5">
            <w:pPr>
              <w:spacing w:line="340" w:lineRule="exact"/>
              <w:ind w:left="193" w:hangingChars="92" w:hanging="193"/>
              <w:rPr>
                <w:rFonts w:ascii="游ゴシック" w:eastAsia="游ゴシック" w:hAnsi="游ゴシック"/>
              </w:rPr>
            </w:pPr>
            <w:r w:rsidRPr="00F1210F">
              <w:rPr>
                <w:rFonts w:ascii="游ゴシック" w:eastAsia="游ゴシック" w:hAnsi="游ゴシック" w:hint="eastAsia"/>
              </w:rPr>
              <w:t>●産業廃棄物の多量排出事業者</w:t>
            </w:r>
            <w:r w:rsidR="00164A00" w:rsidRPr="00F1210F">
              <w:rPr>
                <w:rFonts w:ascii="游ゴシック" w:eastAsia="游ゴシック" w:hAnsi="游ゴシック" w:hint="eastAsia"/>
                <w:vertAlign w:val="superscript"/>
              </w:rPr>
              <w:t>†</w:t>
            </w:r>
            <w:r w:rsidRPr="00F1210F">
              <w:rPr>
                <w:rFonts w:ascii="游ゴシック" w:eastAsia="游ゴシック" w:hAnsi="游ゴシック" w:hint="eastAsia"/>
              </w:rPr>
              <w:t>への指導、助言を実施。</w:t>
            </w:r>
          </w:p>
          <w:p w:rsidR="009F6364" w:rsidRPr="00F1210F" w:rsidRDefault="009F6364" w:rsidP="003434D5">
            <w:pPr>
              <w:spacing w:line="340" w:lineRule="exact"/>
              <w:ind w:left="210" w:hangingChars="100" w:hanging="210"/>
              <w:rPr>
                <w:rFonts w:ascii="游ゴシック" w:eastAsia="游ゴシック" w:hAnsi="游ゴシック"/>
              </w:rPr>
            </w:pPr>
            <w:r w:rsidRPr="00F1210F">
              <w:rPr>
                <w:rFonts w:ascii="游ゴシック" w:eastAsia="游ゴシック" w:hAnsi="游ゴシック" w:hint="eastAsia"/>
              </w:rPr>
              <w:t>●建設</w:t>
            </w:r>
            <w:r w:rsidR="00983B97" w:rsidRPr="00F1210F">
              <w:rPr>
                <w:rFonts w:ascii="游ゴシック" w:eastAsia="游ゴシック" w:hAnsi="游ゴシック" w:hint="eastAsia"/>
              </w:rPr>
              <w:t>物</w:t>
            </w:r>
            <w:r w:rsidRPr="00F1210F">
              <w:rPr>
                <w:rFonts w:ascii="游ゴシック" w:eastAsia="游ゴシック" w:hAnsi="游ゴシック" w:hint="eastAsia"/>
              </w:rPr>
              <w:t>の</w:t>
            </w:r>
            <w:r w:rsidR="00983B97" w:rsidRPr="00F1210F">
              <w:rPr>
                <w:rFonts w:ascii="游ゴシック" w:eastAsia="游ゴシック" w:hAnsi="游ゴシック" w:hint="eastAsia"/>
              </w:rPr>
              <w:t>分別解体など、</w:t>
            </w:r>
            <w:r w:rsidRPr="00F1210F">
              <w:rPr>
                <w:rFonts w:ascii="游ゴシック" w:eastAsia="游ゴシック" w:hAnsi="游ゴシック" w:hint="eastAsia"/>
              </w:rPr>
              <w:t>混合廃棄物の発生・排出抑制の取組み</w:t>
            </w:r>
            <w:r w:rsidR="00983B97" w:rsidRPr="00F1210F">
              <w:rPr>
                <w:rFonts w:ascii="游ゴシック" w:eastAsia="游ゴシック" w:hAnsi="游ゴシック" w:hint="eastAsia"/>
              </w:rPr>
              <w:t>を</w:t>
            </w:r>
            <w:r w:rsidRPr="00F1210F">
              <w:rPr>
                <w:rFonts w:ascii="游ゴシック" w:eastAsia="游ゴシック" w:hAnsi="游ゴシック" w:hint="eastAsia"/>
              </w:rPr>
              <w:t>促進、元請責任</w:t>
            </w:r>
            <w:r w:rsidR="001456A6" w:rsidRPr="00F1210F">
              <w:rPr>
                <w:rFonts w:ascii="游ゴシック" w:eastAsia="游ゴシック" w:hAnsi="游ゴシック" w:hint="eastAsia"/>
              </w:rPr>
              <w:t>の徹底</w:t>
            </w:r>
            <w:r w:rsidRPr="00F1210F">
              <w:rPr>
                <w:rFonts w:ascii="游ゴシック" w:eastAsia="游ゴシック" w:hAnsi="游ゴシック" w:hint="eastAsia"/>
              </w:rPr>
              <w:t>、廃棄物の適正処理等推進のため、説明会等を実施。</w:t>
            </w:r>
          </w:p>
          <w:p w:rsidR="009F6364" w:rsidRPr="00444DE5" w:rsidRDefault="00164A00" w:rsidP="003434D5">
            <w:pPr>
              <w:spacing w:line="340" w:lineRule="exact"/>
              <w:rPr>
                <w:rFonts w:ascii="游ゴシック" w:eastAsia="游ゴシック" w:hAnsi="游ゴシック"/>
                <w:spacing w:val="-8"/>
              </w:rPr>
            </w:pPr>
            <w:r w:rsidRPr="00444DE5">
              <w:rPr>
                <w:rFonts w:ascii="游ゴシック" w:eastAsia="游ゴシック" w:hAnsi="游ゴシック" w:hint="eastAsia"/>
                <w:spacing w:val="-8"/>
                <w:sz w:val="18"/>
              </w:rPr>
              <w:t>†多量排出事業者：前年度に産業廃棄物を1,000t以上(特別管理産業廃棄物は50t以上)排出した事業者</w:t>
            </w:r>
          </w:p>
          <w:p w:rsidR="00A74947" w:rsidRPr="00F1210F" w:rsidRDefault="00A74947" w:rsidP="003434D5">
            <w:pPr>
              <w:spacing w:line="340" w:lineRule="exact"/>
              <w:rPr>
                <w:rFonts w:ascii="游ゴシック" w:eastAsia="游ゴシック" w:hAnsi="游ゴシック"/>
                <w:b/>
              </w:rPr>
            </w:pPr>
          </w:p>
          <w:p w:rsidR="009F6364" w:rsidRPr="00F1210F" w:rsidRDefault="009F6364" w:rsidP="003434D5">
            <w:pPr>
              <w:spacing w:line="340" w:lineRule="exact"/>
              <w:rPr>
                <w:rFonts w:ascii="游ゴシック" w:eastAsia="游ゴシック" w:hAnsi="游ゴシック"/>
                <w:b/>
              </w:rPr>
            </w:pPr>
            <w:r w:rsidRPr="00F1210F">
              <w:rPr>
                <w:rFonts w:ascii="游ゴシック" w:eastAsia="游ゴシック" w:hAnsi="游ゴシック" w:hint="eastAsia"/>
                <w:b/>
              </w:rPr>
              <w:t>＜リサイクルの推進＞</w:t>
            </w:r>
          </w:p>
          <w:p w:rsidR="00471F9C" w:rsidRPr="00F1210F" w:rsidRDefault="00471F9C" w:rsidP="003434D5">
            <w:pPr>
              <w:spacing w:line="340" w:lineRule="exact"/>
              <w:ind w:left="210" w:hangingChars="100" w:hanging="210"/>
              <w:rPr>
                <w:rFonts w:ascii="游ゴシック" w:eastAsia="游ゴシック" w:hAnsi="游ゴシック"/>
              </w:rPr>
            </w:pPr>
            <w:r w:rsidRPr="00F1210F">
              <w:rPr>
                <w:rFonts w:ascii="游ゴシック" w:eastAsia="游ゴシック" w:hAnsi="游ゴシック" w:hint="eastAsia"/>
              </w:rPr>
              <w:t>●</w:t>
            </w:r>
            <w:r w:rsidRPr="00F1210F">
              <w:rPr>
                <w:rFonts w:ascii="游ゴシック" w:eastAsia="游ゴシック" w:hAnsi="游ゴシック"/>
              </w:rPr>
              <w:t>産業廃棄物の排出事業者に対し、リサイクルの促進について周知啓発を行うため、産業廃棄物に係る説明会や立入検査を実施</w:t>
            </w:r>
            <w:r w:rsidRPr="00F1210F">
              <w:rPr>
                <w:rFonts w:ascii="游ゴシック" w:eastAsia="游ゴシック" w:hAnsi="游ゴシック" w:hint="eastAsia"/>
              </w:rPr>
              <w:t>。</w:t>
            </w:r>
          </w:p>
          <w:p w:rsidR="009F6364" w:rsidRPr="00F1210F" w:rsidRDefault="009F6364" w:rsidP="003434D5">
            <w:pPr>
              <w:spacing w:line="340" w:lineRule="exact"/>
              <w:ind w:left="210" w:hangingChars="100" w:hanging="210"/>
              <w:rPr>
                <w:rFonts w:ascii="游ゴシック" w:eastAsia="游ゴシック" w:hAnsi="游ゴシック"/>
              </w:rPr>
            </w:pPr>
            <w:r w:rsidRPr="00F1210F">
              <w:rPr>
                <w:rFonts w:ascii="游ゴシック" w:eastAsia="游ゴシック" w:hAnsi="游ゴシック" w:hint="eastAsia"/>
              </w:rPr>
              <w:t>●</w:t>
            </w:r>
            <w:r w:rsidR="009604D3" w:rsidRPr="00F1210F">
              <w:rPr>
                <w:rFonts w:ascii="游ゴシック" w:eastAsia="游ゴシック" w:hAnsi="游ゴシック" w:hint="eastAsia"/>
              </w:rPr>
              <w:t>建設物の分別解体など、混合廃棄物の発生・排出抑制の取組みを促進、元請責任の徹底、廃棄物の適正処理等推進のため、説明会等を実施。</w:t>
            </w:r>
            <w:r w:rsidR="009604D3">
              <w:rPr>
                <w:rFonts w:ascii="游ゴシック" w:eastAsia="游ゴシック" w:hAnsi="游ゴシック" w:hint="eastAsia"/>
              </w:rPr>
              <w:t>（再掲）</w:t>
            </w:r>
          </w:p>
          <w:p w:rsidR="009F6364" w:rsidRPr="00F1210F" w:rsidRDefault="009F6364" w:rsidP="003434D5">
            <w:pPr>
              <w:spacing w:line="340" w:lineRule="exact"/>
              <w:rPr>
                <w:rFonts w:ascii="游ゴシック" w:eastAsia="游ゴシック" w:hAnsi="游ゴシック"/>
              </w:rPr>
            </w:pPr>
            <w:r w:rsidRPr="00F1210F">
              <w:rPr>
                <w:rFonts w:ascii="游ゴシック" w:eastAsia="游ゴシック" w:hAnsi="游ゴシック" w:hint="eastAsia"/>
              </w:rPr>
              <w:t>●建設リサイクル法において分別解体と再資源化が義務付けられており、</w:t>
            </w:r>
          </w:p>
          <w:p w:rsidR="009F6364" w:rsidRPr="00F1210F" w:rsidRDefault="009F6364" w:rsidP="003434D5">
            <w:pPr>
              <w:spacing w:line="340" w:lineRule="exact"/>
              <w:ind w:firstLineChars="100" w:firstLine="210"/>
              <w:rPr>
                <w:rFonts w:ascii="游ゴシック" w:eastAsia="游ゴシック" w:hAnsi="游ゴシック"/>
              </w:rPr>
            </w:pPr>
            <w:r w:rsidRPr="00F1210F">
              <w:rPr>
                <w:rFonts w:ascii="游ゴシック" w:eastAsia="游ゴシック" w:hAnsi="游ゴシック" w:hint="eastAsia"/>
              </w:rPr>
              <w:t>府及び市の建築・環境部局合同で府内一斉パトロールを実施。</w:t>
            </w:r>
          </w:p>
          <w:p w:rsidR="00A74947" w:rsidRPr="00F1210F" w:rsidRDefault="00A74947" w:rsidP="00A74947">
            <w:pPr>
              <w:spacing w:line="340" w:lineRule="exact"/>
              <w:ind w:left="210" w:hangingChars="100" w:hanging="210"/>
              <w:rPr>
                <w:rFonts w:ascii="游ゴシック" w:eastAsia="游ゴシック" w:hAnsi="游ゴシック"/>
              </w:rPr>
            </w:pPr>
            <w:r w:rsidRPr="00F1210F">
              <w:rPr>
                <w:rFonts w:ascii="游ゴシック" w:eastAsia="游ゴシック" w:hAnsi="游ゴシック" w:hint="eastAsia"/>
              </w:rPr>
              <w:t>●大阪府の建設工事において、再生骨材コンクリートを使用できるよう、府建設工事仕様書を改訂</w:t>
            </w:r>
            <w:r w:rsidR="001456A6" w:rsidRPr="00F1210F">
              <w:rPr>
                <w:rFonts w:ascii="游ゴシック" w:eastAsia="游ゴシック" w:hAnsi="游ゴシック" w:hint="eastAsia"/>
              </w:rPr>
              <w:t>（</w:t>
            </w:r>
            <w:r w:rsidR="00983B97" w:rsidRPr="00F1210F">
              <w:rPr>
                <w:rFonts w:ascii="游ゴシック" w:eastAsia="游ゴシック" w:hAnsi="游ゴシック" w:hint="eastAsia"/>
              </w:rPr>
              <w:t>土木工事：</w:t>
            </w:r>
            <w:r w:rsidR="001456A6" w:rsidRPr="00F1210F">
              <w:rPr>
                <w:rFonts w:ascii="游ゴシック" w:eastAsia="游ゴシック" w:hAnsi="游ゴシック" w:hint="eastAsia"/>
              </w:rPr>
              <w:t>H27.</w:t>
            </w:r>
            <w:r w:rsidR="00983B97" w:rsidRPr="00F1210F">
              <w:rPr>
                <w:rFonts w:ascii="游ゴシック" w:eastAsia="游ゴシック" w:hAnsi="游ゴシック" w:hint="eastAsia"/>
              </w:rPr>
              <w:t>4</w:t>
            </w:r>
            <w:r w:rsidR="001456A6" w:rsidRPr="00F1210F">
              <w:rPr>
                <w:rFonts w:ascii="游ゴシック" w:eastAsia="游ゴシック" w:hAnsi="游ゴシック" w:hint="eastAsia"/>
              </w:rPr>
              <w:t>改訂</w:t>
            </w:r>
            <w:r w:rsidR="009F4500">
              <w:rPr>
                <w:rFonts w:ascii="游ゴシック" w:eastAsia="游ゴシック" w:hAnsi="游ゴシック" w:hint="eastAsia"/>
              </w:rPr>
              <w:t>、建築</w:t>
            </w:r>
            <w:r w:rsidR="00983B97" w:rsidRPr="00F1210F">
              <w:rPr>
                <w:rFonts w:ascii="游ゴシック" w:eastAsia="游ゴシック" w:hAnsi="游ゴシック" w:hint="eastAsia"/>
              </w:rPr>
              <w:t>工事：H28.8改訂</w:t>
            </w:r>
            <w:r w:rsidR="001456A6" w:rsidRPr="00F1210F">
              <w:rPr>
                <w:rFonts w:ascii="游ゴシック" w:eastAsia="游ゴシック" w:hAnsi="游ゴシック" w:hint="eastAsia"/>
              </w:rPr>
              <w:t>）</w:t>
            </w:r>
            <w:r w:rsidRPr="00F1210F">
              <w:rPr>
                <w:rFonts w:ascii="游ゴシック" w:eastAsia="游ゴシック" w:hAnsi="游ゴシック" w:hint="eastAsia"/>
              </w:rPr>
              <w:t>。</w:t>
            </w:r>
          </w:p>
          <w:p w:rsidR="00A74947" w:rsidRPr="00F1210F" w:rsidRDefault="00A74947" w:rsidP="00A74947">
            <w:pPr>
              <w:spacing w:line="340" w:lineRule="exact"/>
              <w:rPr>
                <w:rFonts w:ascii="游ゴシック" w:eastAsia="游ゴシック" w:hAnsi="游ゴシック"/>
              </w:rPr>
            </w:pPr>
            <w:r w:rsidRPr="00F1210F">
              <w:rPr>
                <w:rFonts w:ascii="游ゴシック" w:eastAsia="游ゴシック" w:hAnsi="游ゴシック" w:hint="eastAsia"/>
              </w:rPr>
              <w:t xml:space="preserve">（建設廃棄物におけるがれき類の再生利用率　</w:t>
            </w:r>
            <w:r w:rsidRPr="00F1210F">
              <w:rPr>
                <w:rFonts w:ascii="游ゴシック" w:eastAsia="游ゴシック" w:hAnsi="游ゴシック"/>
              </w:rPr>
              <w:t>2014年度：98%、2019年度：</w:t>
            </w:r>
            <w:r w:rsidRPr="00F1210F">
              <w:rPr>
                <w:rFonts w:ascii="游ゴシック" w:eastAsia="游ゴシック" w:hAnsi="游ゴシック" w:hint="eastAsia"/>
              </w:rPr>
              <w:t>9</w:t>
            </w:r>
            <w:r w:rsidR="006B08E5">
              <w:rPr>
                <w:rFonts w:ascii="游ゴシック" w:eastAsia="游ゴシック" w:hAnsi="游ゴシック"/>
              </w:rPr>
              <w:t>8</w:t>
            </w:r>
            <w:r w:rsidRPr="00F1210F">
              <w:rPr>
                <w:rFonts w:ascii="游ゴシック" w:eastAsia="游ゴシック" w:hAnsi="游ゴシック"/>
              </w:rPr>
              <w:t>%）</w:t>
            </w:r>
          </w:p>
          <w:p w:rsidR="009F6364" w:rsidRPr="00F1210F" w:rsidRDefault="009F6364" w:rsidP="003434D5">
            <w:pPr>
              <w:spacing w:line="340" w:lineRule="exact"/>
              <w:rPr>
                <w:rFonts w:ascii="游ゴシック" w:eastAsia="游ゴシック" w:hAnsi="游ゴシック"/>
              </w:rPr>
            </w:pPr>
          </w:p>
          <w:p w:rsidR="009F6364" w:rsidRPr="00F1210F" w:rsidRDefault="009F6364" w:rsidP="003434D5">
            <w:pPr>
              <w:spacing w:line="340" w:lineRule="exact"/>
              <w:rPr>
                <w:rFonts w:ascii="游ゴシック" w:eastAsia="游ゴシック" w:hAnsi="游ゴシック"/>
                <w:b/>
              </w:rPr>
            </w:pPr>
            <w:r w:rsidRPr="00F1210F">
              <w:rPr>
                <w:rFonts w:ascii="游ゴシック" w:eastAsia="游ゴシック" w:hAnsi="游ゴシック" w:hint="eastAsia"/>
                <w:b/>
              </w:rPr>
              <w:t>＜適正処理の推進＞</w:t>
            </w:r>
          </w:p>
          <w:p w:rsidR="00A74947" w:rsidRPr="00F1210F" w:rsidRDefault="00A74947" w:rsidP="00A74947">
            <w:pPr>
              <w:spacing w:line="340" w:lineRule="exact"/>
              <w:ind w:left="210" w:hangingChars="100" w:hanging="210"/>
              <w:rPr>
                <w:rFonts w:ascii="游ゴシック" w:eastAsia="游ゴシック" w:hAnsi="游ゴシック"/>
              </w:rPr>
            </w:pPr>
            <w:r w:rsidRPr="00F1210F">
              <w:rPr>
                <w:rFonts w:ascii="游ゴシック" w:eastAsia="游ゴシック" w:hAnsi="游ゴシック" w:hint="eastAsia"/>
              </w:rPr>
              <w:t>●産業廃棄物の排出事業者に対し、産業廃棄物の適正処理（特に建設廃棄物は元請責任）について周知啓発を行うため、説明会や立入検査を実施。</w:t>
            </w:r>
          </w:p>
          <w:p w:rsidR="009F6364" w:rsidRPr="00F1210F" w:rsidRDefault="009F6364" w:rsidP="003434D5">
            <w:pPr>
              <w:spacing w:line="340" w:lineRule="exact"/>
              <w:ind w:left="210" w:hangingChars="100" w:hanging="210"/>
              <w:rPr>
                <w:rFonts w:ascii="游ゴシック" w:eastAsia="游ゴシック" w:hAnsi="游ゴシック"/>
              </w:rPr>
            </w:pPr>
            <w:r w:rsidRPr="00F1210F">
              <w:rPr>
                <w:rFonts w:ascii="游ゴシック" w:eastAsia="游ゴシック" w:hAnsi="游ゴシック" w:hint="eastAsia"/>
              </w:rPr>
              <w:t>●排出事業者等に対し、産業廃棄物の適正処理を推進するとともに、電子マニフェストの導入の促進を含めたマニフェストシステムの指導、助言を実施。</w:t>
            </w:r>
          </w:p>
          <w:p w:rsidR="009F6364" w:rsidRPr="00F1210F" w:rsidRDefault="009F6364" w:rsidP="003434D5">
            <w:pPr>
              <w:spacing w:line="340" w:lineRule="exact"/>
              <w:ind w:left="210" w:hangingChars="100" w:hanging="210"/>
              <w:rPr>
                <w:rFonts w:ascii="游ゴシック" w:eastAsia="游ゴシック" w:hAnsi="游ゴシック"/>
              </w:rPr>
            </w:pPr>
            <w:r w:rsidRPr="00F1210F">
              <w:rPr>
                <w:rFonts w:ascii="游ゴシック" w:eastAsia="游ゴシック" w:hAnsi="游ゴシック" w:hint="eastAsia"/>
              </w:rPr>
              <w:t xml:space="preserve">（大阪府電子マニフェスト普及率　</w:t>
            </w:r>
            <w:r w:rsidRPr="00F1210F">
              <w:rPr>
                <w:rFonts w:ascii="游ゴシック" w:eastAsia="游ゴシック" w:hAnsi="游ゴシック"/>
              </w:rPr>
              <w:t>2014年度：49％、2018年度：60％）</w:t>
            </w:r>
          </w:p>
          <w:p w:rsidR="009F6364" w:rsidRPr="00F1210F" w:rsidRDefault="009F6364" w:rsidP="003434D5">
            <w:pPr>
              <w:spacing w:line="340" w:lineRule="exact"/>
              <w:ind w:firstLineChars="100" w:firstLine="210"/>
              <w:rPr>
                <w:rFonts w:ascii="游ゴシック" w:eastAsia="游ゴシック" w:hAnsi="游ゴシック"/>
              </w:rPr>
            </w:pPr>
            <w:r w:rsidRPr="00F1210F">
              <w:rPr>
                <w:rFonts w:ascii="游ゴシック" w:eastAsia="游ゴシック" w:hAnsi="游ゴシック" w:hint="eastAsia"/>
              </w:rPr>
              <w:t xml:space="preserve">※全国電子マニフェスト普及率　</w:t>
            </w:r>
            <w:r w:rsidRPr="00F1210F">
              <w:rPr>
                <w:rFonts w:ascii="游ゴシック" w:eastAsia="游ゴシック" w:hAnsi="游ゴシック"/>
              </w:rPr>
              <w:t>2014年度：39％、201</w:t>
            </w:r>
            <w:r w:rsidRPr="00F1210F">
              <w:rPr>
                <w:rFonts w:ascii="游ゴシック" w:eastAsia="游ゴシック" w:hAnsi="游ゴシック" w:hint="eastAsia"/>
              </w:rPr>
              <w:t>8</w:t>
            </w:r>
            <w:r w:rsidRPr="00F1210F">
              <w:rPr>
                <w:rFonts w:ascii="游ゴシック" w:eastAsia="游ゴシック" w:hAnsi="游ゴシック"/>
              </w:rPr>
              <w:t>年度：</w:t>
            </w:r>
            <w:r w:rsidRPr="00F1210F">
              <w:rPr>
                <w:rFonts w:ascii="游ゴシック" w:eastAsia="游ゴシック" w:hAnsi="游ゴシック" w:hint="eastAsia"/>
              </w:rPr>
              <w:t>58</w:t>
            </w:r>
            <w:r w:rsidRPr="00F1210F">
              <w:rPr>
                <w:rFonts w:ascii="游ゴシック" w:eastAsia="游ゴシック" w:hAnsi="游ゴシック"/>
              </w:rPr>
              <w:t>％</w:t>
            </w:r>
          </w:p>
          <w:p w:rsidR="007612C9" w:rsidRDefault="007612C9" w:rsidP="00A74947">
            <w:pPr>
              <w:spacing w:line="340" w:lineRule="exact"/>
              <w:ind w:left="210" w:hangingChars="100" w:hanging="210"/>
              <w:rPr>
                <w:rFonts w:ascii="游ゴシック" w:eastAsia="游ゴシック" w:hAnsi="游ゴシック"/>
              </w:rPr>
            </w:pPr>
            <w:r>
              <w:rPr>
                <w:rFonts w:ascii="游ゴシック" w:eastAsia="游ゴシック" w:hAnsi="游ゴシック" w:hint="eastAsia"/>
              </w:rPr>
              <w:t>●産業廃棄物処理業者の育成を実施。</w:t>
            </w:r>
          </w:p>
          <w:p w:rsidR="007612C9" w:rsidRDefault="007612C9" w:rsidP="00A74947">
            <w:pPr>
              <w:spacing w:line="340" w:lineRule="exact"/>
              <w:ind w:left="210" w:hangingChars="100" w:hanging="210"/>
              <w:rPr>
                <w:rFonts w:ascii="游ゴシック" w:eastAsia="游ゴシック" w:hAnsi="游ゴシック"/>
              </w:rPr>
            </w:pPr>
            <w:r>
              <w:rPr>
                <w:rFonts w:ascii="游ゴシック" w:eastAsia="游ゴシック" w:hAnsi="游ゴシック" w:hint="eastAsia"/>
              </w:rPr>
              <w:t>（</w:t>
            </w:r>
            <w:r w:rsidR="00F75960">
              <w:rPr>
                <w:rFonts w:ascii="游ゴシック" w:eastAsia="游ゴシック" w:hAnsi="游ゴシック" w:hint="eastAsia"/>
              </w:rPr>
              <w:t>優良</w:t>
            </w:r>
            <w:r>
              <w:rPr>
                <w:rFonts w:ascii="游ゴシック" w:eastAsia="游ゴシック" w:hAnsi="游ゴシック" w:hint="eastAsia"/>
              </w:rPr>
              <w:t>産業廃棄物処理業者数　2014年度：</w:t>
            </w:r>
            <w:r w:rsidR="00CA60BA">
              <w:rPr>
                <w:rFonts w:ascii="游ゴシック" w:eastAsia="游ゴシック" w:hAnsi="游ゴシック" w:hint="eastAsia"/>
              </w:rPr>
              <w:t>204</w:t>
            </w:r>
            <w:r>
              <w:rPr>
                <w:rFonts w:ascii="游ゴシック" w:eastAsia="游ゴシック" w:hAnsi="游ゴシック" w:hint="eastAsia"/>
              </w:rPr>
              <w:t>事業者、2019年度：</w:t>
            </w:r>
            <w:r w:rsidR="00C17658">
              <w:rPr>
                <w:rFonts w:ascii="游ゴシック" w:eastAsia="游ゴシック" w:hAnsi="游ゴシック" w:hint="eastAsia"/>
              </w:rPr>
              <w:t>334</w:t>
            </w:r>
            <w:r>
              <w:rPr>
                <w:rFonts w:ascii="游ゴシック" w:eastAsia="游ゴシック" w:hAnsi="游ゴシック" w:hint="eastAsia"/>
              </w:rPr>
              <w:t>事業者）</w:t>
            </w:r>
          </w:p>
          <w:p w:rsidR="00A74947" w:rsidRPr="00F1210F" w:rsidRDefault="00A74947" w:rsidP="00A74947">
            <w:pPr>
              <w:spacing w:line="340" w:lineRule="exact"/>
              <w:ind w:left="210" w:hangingChars="100" w:hanging="210"/>
              <w:rPr>
                <w:rFonts w:ascii="游ゴシック" w:eastAsia="游ゴシック" w:hAnsi="游ゴシック"/>
              </w:rPr>
            </w:pPr>
            <w:r w:rsidRPr="00F1210F">
              <w:rPr>
                <w:rFonts w:ascii="游ゴシック" w:eastAsia="游ゴシック" w:hAnsi="游ゴシック" w:hint="eastAsia"/>
              </w:rPr>
              <w:t>●産業廃棄物の不適正処理の未然防止、早期発見に向けたパトロールによる監視・指導など警察等と連携しながら法令遵守の徹底を図るとともに、土地所有者等への土地の適正管理等の啓発・指導等を実施。</w:t>
            </w:r>
          </w:p>
          <w:p w:rsidR="00471F9C" w:rsidRPr="00F1210F" w:rsidRDefault="009F6364" w:rsidP="00C17658">
            <w:pPr>
              <w:spacing w:line="340" w:lineRule="exact"/>
              <w:ind w:left="210" w:hangingChars="100" w:hanging="210"/>
              <w:rPr>
                <w:rFonts w:ascii="游ゴシック" w:eastAsia="游ゴシック" w:hAnsi="游ゴシック"/>
              </w:rPr>
            </w:pPr>
            <w:r w:rsidRPr="00F1210F">
              <w:rPr>
                <w:rFonts w:ascii="游ゴシック" w:eastAsia="游ゴシック" w:hAnsi="游ゴシック" w:hint="eastAsia"/>
              </w:rPr>
              <w:t>●不適正事案や苦情事案については、重点的に立入指導を実施し、指導に応じない悪質事案は、行政処分や刑事告発を実施。</w:t>
            </w:r>
          </w:p>
        </w:tc>
      </w:tr>
      <w:tr w:rsidR="009F6364" w:rsidRPr="00F1210F" w:rsidTr="00444DE5">
        <w:trPr>
          <w:trHeight w:val="3671"/>
        </w:trPr>
        <w:tc>
          <w:tcPr>
            <w:tcW w:w="279" w:type="dxa"/>
            <w:tcBorders>
              <w:bottom w:val="nil"/>
              <w:right w:val="nil"/>
            </w:tcBorders>
            <w:vAlign w:val="center"/>
          </w:tcPr>
          <w:p w:rsidR="009F6364" w:rsidRPr="00F1210F" w:rsidRDefault="009F6364" w:rsidP="00870912">
            <w:pPr>
              <w:jc w:val="center"/>
              <w:rPr>
                <w:rFonts w:ascii="游ゴシック" w:eastAsia="游ゴシック" w:hAnsi="游ゴシック"/>
              </w:rPr>
            </w:pPr>
          </w:p>
        </w:tc>
        <w:tc>
          <w:tcPr>
            <w:tcW w:w="1617" w:type="dxa"/>
            <w:tcBorders>
              <w:left w:val="nil"/>
              <w:bottom w:val="dashed" w:sz="4" w:space="0" w:color="auto"/>
            </w:tcBorders>
            <w:vAlign w:val="center"/>
          </w:tcPr>
          <w:p w:rsidR="009F6364" w:rsidRPr="00F1210F" w:rsidRDefault="009F6364" w:rsidP="00CD3D47">
            <w:pPr>
              <w:jc w:val="left"/>
              <w:rPr>
                <w:rFonts w:ascii="游ゴシック" w:eastAsia="游ゴシック" w:hAnsi="游ゴシック"/>
              </w:rPr>
            </w:pPr>
            <w:r w:rsidRPr="00F1210F">
              <w:rPr>
                <w:rFonts w:ascii="游ゴシック" w:eastAsia="游ゴシック" w:hAnsi="游ゴシック" w:hint="eastAsia"/>
              </w:rPr>
              <w:t>再生利用率</w:t>
            </w:r>
          </w:p>
        </w:tc>
        <w:tc>
          <w:tcPr>
            <w:tcW w:w="1480" w:type="dxa"/>
            <w:tcBorders>
              <w:bottom w:val="dashed" w:sz="4" w:space="0" w:color="auto"/>
            </w:tcBorders>
            <w:vAlign w:val="center"/>
          </w:tcPr>
          <w:p w:rsidR="009F6364" w:rsidRPr="00F1210F" w:rsidRDefault="009F6364" w:rsidP="00040CB2">
            <w:pPr>
              <w:jc w:val="center"/>
              <w:rPr>
                <w:rFonts w:ascii="游ゴシック" w:eastAsia="游ゴシック" w:hAnsi="游ゴシック"/>
              </w:rPr>
            </w:pPr>
            <w:r w:rsidRPr="00F1210F">
              <w:rPr>
                <w:rFonts w:ascii="游ゴシック" w:eastAsia="游ゴシック" w:hAnsi="游ゴシック"/>
              </w:rPr>
              <w:t>3</w:t>
            </w:r>
            <w:r w:rsidRPr="00F1210F">
              <w:rPr>
                <w:rFonts w:ascii="游ゴシック" w:eastAsia="游ゴシック" w:hAnsi="游ゴシック" w:hint="eastAsia"/>
              </w:rPr>
              <w:t>2％</w:t>
            </w:r>
          </w:p>
        </w:tc>
        <w:tc>
          <w:tcPr>
            <w:tcW w:w="1260" w:type="dxa"/>
            <w:tcBorders>
              <w:bottom w:val="dashed" w:sz="4" w:space="0" w:color="auto"/>
            </w:tcBorders>
            <w:vAlign w:val="center"/>
          </w:tcPr>
          <w:p w:rsidR="009F6364" w:rsidRPr="00F1210F" w:rsidRDefault="009F6364" w:rsidP="007F2B54">
            <w:pPr>
              <w:jc w:val="center"/>
              <w:rPr>
                <w:rFonts w:ascii="游ゴシック" w:eastAsia="游ゴシック" w:hAnsi="游ゴシック"/>
                <w:b/>
              </w:rPr>
            </w:pPr>
            <w:r w:rsidRPr="00F1210F">
              <w:rPr>
                <w:rFonts w:ascii="游ゴシック" w:eastAsia="游ゴシック" w:hAnsi="游ゴシック"/>
                <w:b/>
              </w:rPr>
              <w:t>3</w:t>
            </w:r>
            <w:r w:rsidRPr="00F1210F">
              <w:rPr>
                <w:rFonts w:ascii="游ゴシック" w:eastAsia="游ゴシック" w:hAnsi="游ゴシック" w:hint="eastAsia"/>
                <w:b/>
              </w:rPr>
              <w:t>2.2％</w:t>
            </w:r>
          </w:p>
        </w:tc>
        <w:tc>
          <w:tcPr>
            <w:tcW w:w="1596" w:type="dxa"/>
            <w:tcBorders>
              <w:bottom w:val="dashed" w:sz="4" w:space="0" w:color="auto"/>
            </w:tcBorders>
            <w:vAlign w:val="center"/>
          </w:tcPr>
          <w:p w:rsidR="0062661E" w:rsidRPr="00F1210F" w:rsidRDefault="0062661E" w:rsidP="0062661E">
            <w:pPr>
              <w:jc w:val="center"/>
              <w:rPr>
                <w:rFonts w:ascii="游ゴシック" w:eastAsia="游ゴシック" w:hAnsi="游ゴシック"/>
                <w:b/>
              </w:rPr>
            </w:pPr>
            <w:r w:rsidRPr="00F1210F">
              <w:rPr>
                <w:rFonts w:ascii="游ゴシック" w:eastAsia="游ゴシック" w:hAnsi="游ゴシック" w:hint="eastAsia"/>
                <w:b/>
              </w:rPr>
              <w:t>32.</w:t>
            </w:r>
            <w:r w:rsidR="004F015D">
              <w:rPr>
                <w:rFonts w:ascii="游ゴシック" w:eastAsia="游ゴシック" w:hAnsi="游ゴシック"/>
                <w:b/>
              </w:rPr>
              <w:t>4</w:t>
            </w:r>
            <w:r w:rsidRPr="00F1210F">
              <w:rPr>
                <w:rFonts w:ascii="游ゴシック" w:eastAsia="游ゴシック" w:hAnsi="游ゴシック" w:hint="eastAsia"/>
                <w:b/>
              </w:rPr>
              <w:t>％</w:t>
            </w:r>
          </w:p>
          <w:p w:rsidR="009F6364" w:rsidRPr="00F1210F" w:rsidRDefault="0062661E" w:rsidP="004F015D">
            <w:pPr>
              <w:jc w:val="center"/>
              <w:rPr>
                <w:rFonts w:ascii="游ゴシック" w:eastAsia="游ゴシック" w:hAnsi="游ゴシック"/>
                <w:b/>
              </w:rPr>
            </w:pPr>
            <w:r w:rsidRPr="00F1210F">
              <w:rPr>
                <w:rFonts w:ascii="游ゴシック" w:eastAsia="游ゴシック" w:hAnsi="游ゴシック" w:hint="eastAsia"/>
                <w:b/>
                <w:kern w:val="0"/>
              </w:rPr>
              <w:t>（＋0.</w:t>
            </w:r>
            <w:r w:rsidR="004F015D">
              <w:rPr>
                <w:rFonts w:ascii="游ゴシック" w:eastAsia="游ゴシック" w:hAnsi="游ゴシック"/>
                <w:b/>
                <w:kern w:val="0"/>
              </w:rPr>
              <w:t>2</w:t>
            </w:r>
            <w:r w:rsidRPr="00F1210F">
              <w:rPr>
                <w:rFonts w:ascii="游ゴシック" w:eastAsia="游ゴシック" w:hAnsi="游ゴシック" w:hint="eastAsia"/>
                <w:b/>
                <w:kern w:val="0"/>
              </w:rPr>
              <w:t>）</w:t>
            </w:r>
          </w:p>
        </w:tc>
        <w:tc>
          <w:tcPr>
            <w:tcW w:w="7513" w:type="dxa"/>
            <w:vMerge w:val="restart"/>
          </w:tcPr>
          <w:p w:rsidR="009F6364" w:rsidRPr="00F1210F" w:rsidRDefault="009F6364" w:rsidP="00CF466F">
            <w:pPr>
              <w:ind w:left="210" w:hangingChars="100" w:hanging="210"/>
              <w:rPr>
                <w:rFonts w:ascii="游ゴシック" w:eastAsia="游ゴシック" w:hAnsi="游ゴシック"/>
              </w:rPr>
            </w:pPr>
            <w:r w:rsidRPr="00F1210F">
              <w:rPr>
                <w:rFonts w:ascii="游ゴシック" w:eastAsia="游ゴシック" w:hAnsi="游ゴシック" w:hint="eastAsia"/>
              </w:rPr>
              <w:t>＜再生利用率＞</w:t>
            </w:r>
          </w:p>
          <w:p w:rsidR="009F6364" w:rsidRPr="00F1210F" w:rsidRDefault="009F6364" w:rsidP="00D0430A">
            <w:pPr>
              <w:ind w:firstLineChars="100" w:firstLine="210"/>
              <w:rPr>
                <w:rFonts w:ascii="游ゴシック" w:eastAsia="游ゴシック" w:hAnsi="游ゴシック"/>
              </w:rPr>
            </w:pPr>
            <w:r w:rsidRPr="00F1210F">
              <w:rPr>
                <w:rFonts w:ascii="游ゴシック" w:eastAsia="游ゴシック" w:hAnsi="游ゴシック" w:hint="eastAsia"/>
              </w:rPr>
              <w:t>業種毎の再生利用率は、2014年度比で建設業が</w:t>
            </w:r>
            <w:r w:rsidR="00192824">
              <w:rPr>
                <w:rFonts w:ascii="游ゴシック" w:eastAsia="游ゴシック" w:hAnsi="游ゴシック" w:hint="eastAsia"/>
              </w:rPr>
              <w:t>5.4</w:t>
            </w:r>
            <w:r w:rsidR="000C41CE">
              <w:rPr>
                <w:rFonts w:ascii="游ゴシック" w:eastAsia="游ゴシック" w:hAnsi="游ゴシック" w:hint="eastAsia"/>
              </w:rPr>
              <w:t>ポイント</w:t>
            </w:r>
            <w:r w:rsidRPr="00F1210F">
              <w:rPr>
                <w:rFonts w:ascii="游ゴシック" w:eastAsia="游ゴシック" w:hAnsi="游ゴシック" w:hint="eastAsia"/>
              </w:rPr>
              <w:t>増、製造業が</w:t>
            </w:r>
            <w:r w:rsidR="00F4091C">
              <w:rPr>
                <w:rFonts w:ascii="游ゴシック" w:eastAsia="游ゴシック" w:hAnsi="游ゴシック" w:hint="eastAsia"/>
              </w:rPr>
              <w:t>4.4</w:t>
            </w:r>
            <w:r w:rsidR="000C41CE">
              <w:rPr>
                <w:rFonts w:ascii="游ゴシック" w:eastAsia="游ゴシック" w:hAnsi="游ゴシック" w:hint="eastAsia"/>
              </w:rPr>
              <w:t>ポイント</w:t>
            </w:r>
            <w:r w:rsidRPr="00F1210F">
              <w:rPr>
                <w:rFonts w:ascii="游ゴシック" w:eastAsia="游ゴシック" w:hAnsi="游ゴシック" w:hint="eastAsia"/>
              </w:rPr>
              <w:t>減、電気・水道業が</w:t>
            </w:r>
            <w:r w:rsidR="00F4091C">
              <w:rPr>
                <w:rFonts w:ascii="游ゴシック" w:eastAsia="游ゴシック" w:hAnsi="游ゴシック" w:hint="eastAsia"/>
              </w:rPr>
              <w:t>1.1</w:t>
            </w:r>
            <w:r w:rsidR="000C41CE">
              <w:rPr>
                <w:rFonts w:ascii="游ゴシック" w:eastAsia="游ゴシック" w:hAnsi="游ゴシック" w:hint="eastAsia"/>
              </w:rPr>
              <w:t>ポイント</w:t>
            </w:r>
            <w:r w:rsidRPr="00F1210F">
              <w:rPr>
                <w:rFonts w:ascii="游ゴシック" w:eastAsia="游ゴシック" w:hAnsi="游ゴシック" w:hint="eastAsia"/>
              </w:rPr>
              <w:t>減</w:t>
            </w:r>
            <w:r w:rsidR="00DA61BA" w:rsidRPr="00F1210F">
              <w:rPr>
                <w:rFonts w:ascii="游ゴシック" w:eastAsia="游ゴシック" w:hAnsi="游ゴシック" w:hint="eastAsia"/>
              </w:rPr>
              <w:t>とな</w:t>
            </w:r>
            <w:r w:rsidR="00DA61BA">
              <w:rPr>
                <w:rFonts w:ascii="游ゴシック" w:eastAsia="游ゴシック" w:hAnsi="游ゴシック" w:hint="eastAsia"/>
              </w:rPr>
              <w:t>り、全体では0.</w:t>
            </w:r>
            <w:r w:rsidR="00237C08">
              <w:rPr>
                <w:rFonts w:ascii="游ゴシック" w:eastAsia="游ゴシック" w:hAnsi="游ゴシック" w:hint="eastAsia"/>
              </w:rPr>
              <w:t>6</w:t>
            </w:r>
            <w:r w:rsidR="00DA61BA">
              <w:rPr>
                <w:rFonts w:ascii="游ゴシック" w:eastAsia="游ゴシック" w:hAnsi="游ゴシック" w:hint="eastAsia"/>
              </w:rPr>
              <w:t>ポイント増</w:t>
            </w:r>
            <w:r w:rsidRPr="00F1210F">
              <w:rPr>
                <w:rFonts w:ascii="游ゴシック" w:eastAsia="游ゴシック" w:hAnsi="游ゴシック" w:hint="eastAsia"/>
              </w:rPr>
              <w:t>となった。</w:t>
            </w:r>
          </w:p>
          <w:p w:rsidR="00D2140C" w:rsidRPr="00F1210F" w:rsidRDefault="004F2312" w:rsidP="00D0430A">
            <w:pPr>
              <w:ind w:firstLineChars="100" w:firstLine="210"/>
              <w:rPr>
                <w:rFonts w:ascii="游ゴシック" w:eastAsia="游ゴシック" w:hAnsi="游ゴシック"/>
              </w:rPr>
            </w:pPr>
            <w:r w:rsidRPr="00F1210F">
              <w:rPr>
                <w:rFonts w:ascii="游ゴシック" w:eastAsia="游ゴシック" w:hAnsi="游ゴシック" w:hint="eastAsia"/>
              </w:rPr>
              <w:t>建設業において再生利用率が</w:t>
            </w:r>
            <w:r w:rsidR="001456A6" w:rsidRPr="00F1210F">
              <w:rPr>
                <w:rFonts w:ascii="游ゴシック" w:eastAsia="游ゴシック" w:hAnsi="游ゴシック" w:hint="eastAsia"/>
              </w:rPr>
              <w:t>上がった</w:t>
            </w:r>
            <w:r w:rsidRPr="00F1210F">
              <w:rPr>
                <w:rFonts w:ascii="游ゴシック" w:eastAsia="游ゴシック" w:hAnsi="游ゴシック" w:hint="eastAsia"/>
              </w:rPr>
              <w:t>要因としては、主に</w:t>
            </w:r>
            <w:r w:rsidR="00D2140C" w:rsidRPr="00F1210F">
              <w:rPr>
                <w:rFonts w:ascii="游ゴシック" w:eastAsia="游ゴシック" w:hAnsi="游ゴシック" w:hint="eastAsia"/>
              </w:rPr>
              <w:t>建設汚泥の再生利用率が</w:t>
            </w:r>
            <w:r w:rsidR="001456A6" w:rsidRPr="00F1210F">
              <w:rPr>
                <w:rFonts w:ascii="游ゴシック" w:eastAsia="游ゴシック" w:hAnsi="游ゴシック" w:hint="eastAsia"/>
              </w:rPr>
              <w:t>上がった</w:t>
            </w:r>
            <w:r w:rsidR="009F4500">
              <w:rPr>
                <w:rFonts w:ascii="游ゴシック" w:eastAsia="游ゴシック" w:hAnsi="游ゴシック" w:hint="eastAsia"/>
              </w:rPr>
              <w:t>（</w:t>
            </w:r>
            <w:r w:rsidR="00BA1FCC" w:rsidRPr="00F1210F">
              <w:rPr>
                <w:rFonts w:ascii="游ゴシック" w:eastAsia="游ゴシック" w:hAnsi="游ゴシック"/>
              </w:rPr>
              <w:t>2014年度：</w:t>
            </w:r>
            <w:r w:rsidR="009F4500">
              <w:rPr>
                <w:rFonts w:ascii="游ゴシック" w:eastAsia="游ゴシック" w:hAnsi="游ゴシック" w:hint="eastAsia"/>
              </w:rPr>
              <w:t>53％</w:t>
            </w:r>
            <w:r w:rsidR="00BA1FCC">
              <w:rPr>
                <w:rFonts w:ascii="游ゴシック" w:eastAsia="游ゴシック" w:hAnsi="游ゴシック" w:hint="eastAsia"/>
              </w:rPr>
              <w:t>、</w:t>
            </w:r>
            <w:r w:rsidR="00BA1FCC">
              <w:rPr>
                <w:rFonts w:ascii="游ゴシック" w:eastAsia="游ゴシック" w:hAnsi="游ゴシック"/>
              </w:rPr>
              <w:t>2019</w:t>
            </w:r>
            <w:r w:rsidR="00BA1FCC" w:rsidRPr="00F1210F">
              <w:rPr>
                <w:rFonts w:ascii="游ゴシック" w:eastAsia="游ゴシック" w:hAnsi="游ゴシック"/>
              </w:rPr>
              <w:t>年度：</w:t>
            </w:r>
            <w:r w:rsidR="009F4500">
              <w:rPr>
                <w:rFonts w:ascii="游ゴシック" w:eastAsia="游ゴシック" w:hAnsi="游ゴシック" w:hint="eastAsia"/>
              </w:rPr>
              <w:t>84</w:t>
            </w:r>
            <w:r w:rsidR="009F4500" w:rsidRPr="009F4500">
              <w:rPr>
                <w:rFonts w:ascii="游ゴシック" w:eastAsia="游ゴシック" w:hAnsi="游ゴシック" w:hint="eastAsia"/>
              </w:rPr>
              <w:t>％</w:t>
            </w:r>
            <w:r w:rsidR="009F4500">
              <w:rPr>
                <w:rFonts w:ascii="游ゴシック" w:eastAsia="游ゴシック" w:hAnsi="游ゴシック" w:hint="eastAsia"/>
              </w:rPr>
              <w:t>）ため</w:t>
            </w:r>
            <w:r w:rsidR="005062DA">
              <w:rPr>
                <w:rFonts w:ascii="游ゴシック" w:eastAsia="游ゴシック" w:hAnsi="游ゴシック" w:hint="eastAsia"/>
              </w:rPr>
              <w:t>と考えられる</w:t>
            </w:r>
            <w:r w:rsidRPr="00F1210F">
              <w:rPr>
                <w:rFonts w:ascii="游ゴシック" w:eastAsia="游ゴシック" w:hAnsi="游ゴシック" w:hint="eastAsia"/>
              </w:rPr>
              <w:t>。</w:t>
            </w:r>
          </w:p>
          <w:p w:rsidR="009F6364" w:rsidRPr="00F1210F" w:rsidRDefault="009F4500" w:rsidP="00FE368F">
            <w:pPr>
              <w:ind w:firstLineChars="100" w:firstLine="210"/>
              <w:rPr>
                <w:rFonts w:ascii="游ゴシック" w:eastAsia="游ゴシック" w:hAnsi="游ゴシック"/>
              </w:rPr>
            </w:pPr>
            <w:r>
              <w:rPr>
                <w:rFonts w:ascii="游ゴシック" w:eastAsia="游ゴシック" w:hAnsi="游ゴシック" w:hint="eastAsia"/>
              </w:rPr>
              <w:t>一方、現行計画で排出量の削減目標を掲げていた</w:t>
            </w:r>
            <w:r w:rsidR="009F6364" w:rsidRPr="00F1210F">
              <w:rPr>
                <w:rFonts w:ascii="游ゴシック" w:eastAsia="游ゴシック" w:hAnsi="游ゴシック" w:hint="eastAsia"/>
              </w:rPr>
              <w:t>建設混合廃棄物の割合</w:t>
            </w:r>
            <w:r>
              <w:rPr>
                <w:rFonts w:ascii="游ゴシック" w:eastAsia="游ゴシック" w:hAnsi="游ゴシック" w:hint="eastAsia"/>
              </w:rPr>
              <w:t>（</w:t>
            </w:r>
            <w:r w:rsidR="00BA1FCC" w:rsidRPr="00F1210F">
              <w:rPr>
                <w:rFonts w:ascii="游ゴシック" w:eastAsia="游ゴシック" w:hAnsi="游ゴシック"/>
              </w:rPr>
              <w:t>2014年度：</w:t>
            </w:r>
            <w:r>
              <w:rPr>
                <w:rFonts w:ascii="游ゴシック" w:eastAsia="游ゴシック" w:hAnsi="游ゴシック" w:hint="eastAsia"/>
              </w:rPr>
              <w:t>6.0％→目標値3.5％）</w:t>
            </w:r>
            <w:r w:rsidR="005A53A7" w:rsidRPr="00F1210F">
              <w:rPr>
                <w:rFonts w:ascii="游ゴシック" w:eastAsia="游ゴシック" w:hAnsi="游ゴシック" w:hint="eastAsia"/>
              </w:rPr>
              <w:t>は</w:t>
            </w:r>
            <w:r w:rsidR="009F6364" w:rsidRPr="00F1210F">
              <w:rPr>
                <w:rFonts w:ascii="游ゴシック" w:eastAsia="游ゴシック" w:hAnsi="游ゴシック" w:hint="eastAsia"/>
              </w:rPr>
              <w:t>、</w:t>
            </w:r>
            <w:r w:rsidR="004F2312" w:rsidRPr="00F1210F">
              <w:rPr>
                <w:rFonts w:ascii="游ゴシック" w:eastAsia="游ゴシック" w:hAnsi="游ゴシック" w:hint="eastAsia"/>
              </w:rPr>
              <w:t>2014年度</w:t>
            </w:r>
            <w:r w:rsidR="00370A89" w:rsidRPr="00F1210F">
              <w:rPr>
                <w:rFonts w:ascii="游ゴシック" w:eastAsia="游ゴシック" w:hAnsi="游ゴシック" w:hint="eastAsia"/>
              </w:rPr>
              <w:t>と比べて</w:t>
            </w:r>
            <w:r w:rsidR="009F6364" w:rsidRPr="00F1210F">
              <w:rPr>
                <w:rFonts w:ascii="游ゴシック" w:eastAsia="游ゴシック" w:hAnsi="游ゴシック" w:hint="eastAsia"/>
              </w:rPr>
              <w:t>ほとんど改善しなかった</w:t>
            </w:r>
            <w:r w:rsidR="00370A89" w:rsidRPr="00F1210F">
              <w:rPr>
                <w:rFonts w:ascii="游ゴシック" w:eastAsia="游ゴシック" w:hAnsi="游ゴシック" w:hint="eastAsia"/>
              </w:rPr>
              <w:t>（</w:t>
            </w:r>
            <w:r w:rsidR="00370A89" w:rsidRPr="00F1210F">
              <w:rPr>
                <w:rFonts w:ascii="游ゴシック" w:eastAsia="游ゴシック" w:hAnsi="游ゴシック"/>
              </w:rPr>
              <w:t>2014年度：</w:t>
            </w:r>
            <w:r w:rsidR="00370A89" w:rsidRPr="00F1210F">
              <w:rPr>
                <w:rFonts w:ascii="游ゴシック" w:eastAsia="游ゴシック" w:hAnsi="游ゴシック" w:hint="eastAsia"/>
              </w:rPr>
              <w:t>6.0</w:t>
            </w:r>
            <w:r w:rsidR="00370A89" w:rsidRPr="00F1210F">
              <w:rPr>
                <w:rFonts w:ascii="游ゴシック" w:eastAsia="游ゴシック" w:hAnsi="游ゴシック"/>
              </w:rPr>
              <w:t>%、2019年度：</w:t>
            </w:r>
            <w:r w:rsidR="00370A89" w:rsidRPr="00F1210F">
              <w:rPr>
                <w:rFonts w:ascii="游ゴシック" w:eastAsia="游ゴシック" w:hAnsi="游ゴシック" w:hint="eastAsia"/>
              </w:rPr>
              <w:t>5.9</w:t>
            </w:r>
            <w:r w:rsidR="00370A89" w:rsidRPr="00F1210F">
              <w:rPr>
                <w:rFonts w:ascii="游ゴシック" w:eastAsia="游ゴシック" w:hAnsi="游ゴシック"/>
              </w:rPr>
              <w:t>%）</w:t>
            </w:r>
            <w:r w:rsidR="009F6364" w:rsidRPr="00F1210F">
              <w:rPr>
                <w:rFonts w:ascii="游ゴシック" w:eastAsia="游ゴシック" w:hAnsi="游ゴシック" w:hint="eastAsia"/>
              </w:rPr>
              <w:t>。</w:t>
            </w:r>
          </w:p>
          <w:p w:rsidR="001931A3" w:rsidRPr="00F1210F" w:rsidRDefault="001931A3" w:rsidP="00FE368F">
            <w:pPr>
              <w:ind w:firstLineChars="100" w:firstLine="210"/>
              <w:rPr>
                <w:rFonts w:ascii="游ゴシック" w:eastAsia="游ゴシック" w:hAnsi="游ゴシック"/>
              </w:rPr>
            </w:pPr>
            <w:r w:rsidRPr="00F1210F">
              <w:rPr>
                <w:rFonts w:ascii="游ゴシック" w:eastAsia="游ゴシック" w:hAnsi="游ゴシック" w:hint="eastAsia"/>
              </w:rPr>
              <w:t>製造業においては、</w:t>
            </w:r>
            <w:r w:rsidR="00237C08">
              <w:rPr>
                <w:rFonts w:ascii="游ゴシック" w:eastAsia="游ゴシック" w:hAnsi="游ゴシック" w:hint="eastAsia"/>
              </w:rPr>
              <w:t>全体的</w:t>
            </w:r>
            <w:r w:rsidRPr="00F1210F">
              <w:rPr>
                <w:rFonts w:ascii="游ゴシック" w:eastAsia="游ゴシック" w:hAnsi="游ゴシック" w:hint="eastAsia"/>
              </w:rPr>
              <w:t>に再生利用率が</w:t>
            </w:r>
            <w:r w:rsidR="001456A6" w:rsidRPr="00F1210F">
              <w:rPr>
                <w:rFonts w:ascii="游ゴシック" w:eastAsia="游ゴシック" w:hAnsi="游ゴシック" w:hint="eastAsia"/>
              </w:rPr>
              <w:t>下がり</w:t>
            </w:r>
            <w:r w:rsidR="00A74947" w:rsidRPr="00F1210F">
              <w:rPr>
                <w:rFonts w:ascii="游ゴシック" w:eastAsia="游ゴシック" w:hAnsi="游ゴシック" w:hint="eastAsia"/>
              </w:rPr>
              <w:t>、</w:t>
            </w:r>
            <w:r w:rsidRPr="00F1210F">
              <w:rPr>
                <w:rFonts w:ascii="游ゴシック" w:eastAsia="游ゴシック" w:hAnsi="游ゴシック" w:hint="eastAsia"/>
              </w:rPr>
              <w:t>減量</w:t>
            </w:r>
            <w:r w:rsidR="00A74947" w:rsidRPr="00F1210F">
              <w:rPr>
                <w:rFonts w:ascii="游ゴシック" w:eastAsia="游ゴシック" w:hAnsi="游ゴシック" w:hint="eastAsia"/>
              </w:rPr>
              <w:t>化</w:t>
            </w:r>
            <w:r w:rsidR="00A750BD" w:rsidRPr="00F1210F">
              <w:rPr>
                <w:rFonts w:ascii="游ゴシック" w:eastAsia="游ゴシック" w:hAnsi="游ゴシック" w:hint="eastAsia"/>
              </w:rPr>
              <w:t>の割合</w:t>
            </w:r>
            <w:r w:rsidR="00A74947" w:rsidRPr="00F1210F">
              <w:rPr>
                <w:rFonts w:ascii="游ゴシック" w:eastAsia="游ゴシック" w:hAnsi="游ゴシック" w:hint="eastAsia"/>
              </w:rPr>
              <w:t>が</w:t>
            </w:r>
            <w:r w:rsidR="009F4500">
              <w:rPr>
                <w:rFonts w:ascii="游ゴシック" w:eastAsia="游ゴシック" w:hAnsi="游ゴシック" w:hint="eastAsia"/>
              </w:rPr>
              <w:t>上がった</w:t>
            </w:r>
            <w:r w:rsidRPr="00F1210F">
              <w:rPr>
                <w:rFonts w:ascii="游ゴシック" w:eastAsia="游ゴシック" w:hAnsi="游ゴシック" w:hint="eastAsia"/>
              </w:rPr>
              <w:t>。</w:t>
            </w:r>
          </w:p>
          <w:p w:rsidR="009F6364" w:rsidRPr="00F1210F" w:rsidRDefault="009F6364" w:rsidP="00B1763C">
            <w:pPr>
              <w:ind w:firstLineChars="100" w:firstLine="210"/>
              <w:rPr>
                <w:rFonts w:ascii="游ゴシック" w:eastAsia="游ゴシック" w:hAnsi="游ゴシック"/>
              </w:rPr>
            </w:pPr>
            <w:r w:rsidRPr="00F1210F">
              <w:rPr>
                <w:rFonts w:ascii="游ゴシック" w:eastAsia="游ゴシック" w:hAnsi="游ゴシック" w:hint="eastAsia"/>
              </w:rPr>
              <w:t>下水汚泥</w:t>
            </w:r>
            <w:r w:rsidR="001456A6" w:rsidRPr="00F1210F">
              <w:rPr>
                <w:rFonts w:ascii="游ゴシック" w:eastAsia="游ゴシック" w:hAnsi="游ゴシック" w:hint="eastAsia"/>
              </w:rPr>
              <w:t>については、</w:t>
            </w:r>
            <w:r w:rsidR="009F4500">
              <w:rPr>
                <w:rFonts w:ascii="游ゴシック" w:eastAsia="游ゴシック" w:hAnsi="游ゴシック" w:hint="eastAsia"/>
              </w:rPr>
              <w:t>近年、</w:t>
            </w:r>
            <w:r w:rsidR="00B1763C">
              <w:rPr>
                <w:rFonts w:ascii="游ゴシック" w:eastAsia="游ゴシック" w:hAnsi="游ゴシック" w:hint="eastAsia"/>
              </w:rPr>
              <w:t>焼却し</w:t>
            </w:r>
            <w:r w:rsidR="00983B97" w:rsidRPr="00F1210F">
              <w:rPr>
                <w:rFonts w:ascii="游ゴシック" w:eastAsia="游ゴシック" w:hAnsi="游ゴシック" w:hint="eastAsia"/>
              </w:rPr>
              <w:t>最終処分している</w:t>
            </w:r>
            <w:r w:rsidR="00B1763C">
              <w:rPr>
                <w:rFonts w:ascii="游ゴシック" w:eastAsia="游ゴシック" w:hAnsi="游ゴシック" w:hint="eastAsia"/>
              </w:rPr>
              <w:t>量が増加し</w:t>
            </w:r>
            <w:r w:rsidR="006718F8">
              <w:rPr>
                <w:rFonts w:ascii="游ゴシック" w:eastAsia="游ゴシック" w:hAnsi="游ゴシック" w:hint="eastAsia"/>
              </w:rPr>
              <w:t>ている</w:t>
            </w:r>
            <w:r w:rsidR="00983B97" w:rsidRPr="00F1210F">
              <w:rPr>
                <w:rFonts w:ascii="游ゴシック" w:eastAsia="游ゴシック" w:hAnsi="游ゴシック" w:hint="eastAsia"/>
              </w:rPr>
              <w:t>ため</w:t>
            </w:r>
            <w:r w:rsidR="001456A6" w:rsidRPr="00F1210F">
              <w:rPr>
                <w:rFonts w:ascii="游ゴシック" w:eastAsia="游ゴシック" w:hAnsi="游ゴシック" w:hint="eastAsia"/>
              </w:rPr>
              <w:t>、</w:t>
            </w:r>
            <w:r w:rsidRPr="00F1210F">
              <w:rPr>
                <w:rFonts w:ascii="游ゴシック" w:eastAsia="游ゴシック" w:hAnsi="游ゴシック" w:hint="eastAsia"/>
              </w:rPr>
              <w:t>再生利用率が</w:t>
            </w:r>
            <w:r w:rsidR="00983B97" w:rsidRPr="00F1210F">
              <w:rPr>
                <w:rFonts w:ascii="游ゴシック" w:eastAsia="游ゴシック" w:hAnsi="游ゴシック" w:hint="eastAsia"/>
              </w:rPr>
              <w:t>下がった</w:t>
            </w:r>
            <w:r w:rsidRPr="00F1210F">
              <w:rPr>
                <w:rFonts w:ascii="游ゴシック" w:eastAsia="游ゴシック" w:hAnsi="游ゴシック" w:hint="eastAsia"/>
              </w:rPr>
              <w:t>と考えられる</w:t>
            </w:r>
            <w:r w:rsidR="007751B4" w:rsidRPr="00F1210F">
              <w:rPr>
                <w:rFonts w:ascii="游ゴシック" w:eastAsia="游ゴシック" w:hAnsi="游ゴシック" w:hint="eastAsia"/>
              </w:rPr>
              <w:t>（以前は溶融炉によりスラグ</w:t>
            </w:r>
            <w:r w:rsidR="00B1763C">
              <w:rPr>
                <w:rFonts w:ascii="游ゴシック" w:eastAsia="游ゴシック" w:hAnsi="游ゴシック" w:hint="eastAsia"/>
              </w:rPr>
              <w:t>を製造</w:t>
            </w:r>
            <w:r w:rsidR="007751B4" w:rsidRPr="00F1210F">
              <w:rPr>
                <w:rFonts w:ascii="游ゴシック" w:eastAsia="游ゴシック" w:hAnsi="游ゴシック" w:hint="eastAsia"/>
              </w:rPr>
              <w:t>し、路盤材等として再生利用していたが、コストが見合わない</w:t>
            </w:r>
            <w:r w:rsidR="007751B4">
              <w:rPr>
                <w:rFonts w:ascii="游ゴシック" w:eastAsia="游ゴシック" w:hAnsi="游ゴシック" w:hint="eastAsia"/>
              </w:rPr>
              <w:t>ため</w:t>
            </w:r>
            <w:r w:rsidR="007751B4" w:rsidRPr="00F1210F">
              <w:rPr>
                <w:rFonts w:ascii="游ゴシック" w:eastAsia="游ゴシック" w:hAnsi="游ゴシック" w:hint="eastAsia"/>
              </w:rPr>
              <w:t>）</w:t>
            </w:r>
            <w:r w:rsidRPr="00F1210F">
              <w:rPr>
                <w:rFonts w:ascii="游ゴシック" w:eastAsia="游ゴシック" w:hAnsi="游ゴシック" w:hint="eastAsia"/>
              </w:rPr>
              <w:t>。</w:t>
            </w:r>
          </w:p>
        </w:tc>
        <w:tc>
          <w:tcPr>
            <w:tcW w:w="7796" w:type="dxa"/>
            <w:vMerge/>
          </w:tcPr>
          <w:p w:rsidR="009F6364" w:rsidRPr="00F1210F" w:rsidRDefault="009F6364" w:rsidP="007F2B54">
            <w:pPr>
              <w:rPr>
                <w:rFonts w:ascii="游ゴシック" w:eastAsia="游ゴシック" w:hAnsi="游ゴシック"/>
              </w:rPr>
            </w:pPr>
          </w:p>
        </w:tc>
      </w:tr>
      <w:tr w:rsidR="009F6364" w:rsidRPr="00F1210F" w:rsidTr="00444DE5">
        <w:trPr>
          <w:trHeight w:val="1361"/>
        </w:trPr>
        <w:tc>
          <w:tcPr>
            <w:tcW w:w="279" w:type="dxa"/>
            <w:tcBorders>
              <w:top w:val="nil"/>
              <w:bottom w:val="single" w:sz="4" w:space="0" w:color="auto"/>
              <w:right w:val="dashed" w:sz="4" w:space="0" w:color="auto"/>
            </w:tcBorders>
            <w:vAlign w:val="center"/>
          </w:tcPr>
          <w:p w:rsidR="009F6364" w:rsidRPr="00F1210F" w:rsidRDefault="009F6364" w:rsidP="00870912">
            <w:pPr>
              <w:jc w:val="center"/>
              <w:rPr>
                <w:rFonts w:ascii="游ゴシック" w:eastAsia="游ゴシック" w:hAnsi="游ゴシック"/>
              </w:rPr>
            </w:pPr>
          </w:p>
        </w:tc>
        <w:tc>
          <w:tcPr>
            <w:tcW w:w="1617" w:type="dxa"/>
            <w:tcBorders>
              <w:top w:val="dashed" w:sz="4" w:space="0" w:color="auto"/>
              <w:left w:val="dashed" w:sz="4" w:space="0" w:color="auto"/>
            </w:tcBorders>
            <w:vAlign w:val="center"/>
          </w:tcPr>
          <w:p w:rsidR="00CD3D47" w:rsidRPr="00F1210F" w:rsidRDefault="00CD3D47" w:rsidP="00CD3D47">
            <w:pPr>
              <w:ind w:leftChars="-50" w:left="-105" w:rightChars="-20" w:right="-42"/>
              <w:jc w:val="center"/>
              <w:rPr>
                <w:rFonts w:ascii="游ゴシック" w:eastAsia="游ゴシック" w:hAnsi="游ゴシック"/>
                <w:spacing w:val="-10"/>
              </w:rPr>
            </w:pPr>
            <w:r w:rsidRPr="00F1210F">
              <w:rPr>
                <w:rFonts w:ascii="游ゴシック" w:eastAsia="游ゴシック" w:hAnsi="游ゴシック" w:hint="eastAsia"/>
                <w:spacing w:val="-10"/>
              </w:rPr>
              <w:t>排出量から</w:t>
            </w:r>
          </w:p>
          <w:p w:rsidR="00CD3D47" w:rsidRPr="00F1210F" w:rsidRDefault="00CD3D47" w:rsidP="00CD3D47">
            <w:pPr>
              <w:ind w:leftChars="-50" w:left="-105" w:rightChars="-20" w:right="-42"/>
              <w:jc w:val="center"/>
              <w:rPr>
                <w:rFonts w:ascii="游ゴシック" w:eastAsia="游ゴシック" w:hAnsi="游ゴシック"/>
                <w:spacing w:val="-10"/>
              </w:rPr>
            </w:pPr>
            <w:r w:rsidRPr="00F1210F">
              <w:rPr>
                <w:rFonts w:ascii="游ゴシック" w:eastAsia="游ゴシック" w:hAnsi="游ゴシック" w:hint="eastAsia"/>
                <w:spacing w:val="-10"/>
              </w:rPr>
              <w:t>減量化量を除いた</w:t>
            </w:r>
          </w:p>
          <w:p w:rsidR="009F6364" w:rsidRPr="00F1210F" w:rsidRDefault="00CD3D47" w:rsidP="00CD3D47">
            <w:pPr>
              <w:ind w:leftChars="-50" w:left="-105" w:rightChars="-20" w:right="-42"/>
              <w:jc w:val="center"/>
              <w:rPr>
                <w:rFonts w:ascii="游ゴシック" w:eastAsia="游ゴシック" w:hAnsi="游ゴシック"/>
                <w:spacing w:val="-10"/>
              </w:rPr>
            </w:pPr>
            <w:r w:rsidRPr="00F1210F">
              <w:rPr>
                <w:rFonts w:ascii="游ゴシック" w:eastAsia="游ゴシック" w:hAnsi="游ゴシック" w:hint="eastAsia"/>
                <w:spacing w:val="-10"/>
              </w:rPr>
              <w:t>再生利用率</w:t>
            </w:r>
          </w:p>
        </w:tc>
        <w:tc>
          <w:tcPr>
            <w:tcW w:w="1480" w:type="dxa"/>
            <w:tcBorders>
              <w:top w:val="dashed" w:sz="4" w:space="0" w:color="auto"/>
            </w:tcBorders>
            <w:vAlign w:val="center"/>
          </w:tcPr>
          <w:p w:rsidR="009F6364" w:rsidRPr="00F1210F" w:rsidRDefault="00CD3D47" w:rsidP="00040CB2">
            <w:pPr>
              <w:jc w:val="center"/>
              <w:rPr>
                <w:rFonts w:ascii="游ゴシック" w:eastAsia="游ゴシック" w:hAnsi="游ゴシック"/>
              </w:rPr>
            </w:pPr>
            <w:r w:rsidRPr="00F1210F">
              <w:rPr>
                <w:rFonts w:ascii="游ゴシック" w:eastAsia="游ゴシック" w:hAnsi="游ゴシック" w:hint="eastAsia"/>
              </w:rPr>
              <w:t>92.7％</w:t>
            </w:r>
          </w:p>
        </w:tc>
        <w:tc>
          <w:tcPr>
            <w:tcW w:w="1260" w:type="dxa"/>
            <w:tcBorders>
              <w:top w:val="dashed" w:sz="4" w:space="0" w:color="auto"/>
            </w:tcBorders>
            <w:vAlign w:val="center"/>
          </w:tcPr>
          <w:p w:rsidR="009F6364" w:rsidRPr="00F1210F" w:rsidRDefault="00CD3D47" w:rsidP="007F2B54">
            <w:pPr>
              <w:jc w:val="center"/>
              <w:rPr>
                <w:rFonts w:ascii="游ゴシック" w:eastAsia="游ゴシック" w:hAnsi="游ゴシック"/>
                <w:b/>
              </w:rPr>
            </w:pPr>
            <w:r w:rsidRPr="00F1210F">
              <w:rPr>
                <w:rFonts w:ascii="游ゴシック" w:eastAsia="游ゴシック" w:hAnsi="游ゴシック" w:hint="eastAsia"/>
                <w:b/>
              </w:rPr>
              <w:t>―</w:t>
            </w:r>
          </w:p>
        </w:tc>
        <w:tc>
          <w:tcPr>
            <w:tcW w:w="1596" w:type="dxa"/>
            <w:tcBorders>
              <w:top w:val="dashed" w:sz="4" w:space="0" w:color="auto"/>
            </w:tcBorders>
            <w:vAlign w:val="center"/>
          </w:tcPr>
          <w:p w:rsidR="009F6364" w:rsidRPr="00F1210F" w:rsidRDefault="00C036F7" w:rsidP="004F1D6A">
            <w:pPr>
              <w:jc w:val="center"/>
              <w:rPr>
                <w:rFonts w:ascii="游ゴシック" w:eastAsia="游ゴシック" w:hAnsi="游ゴシック"/>
                <w:b/>
              </w:rPr>
            </w:pPr>
            <w:r w:rsidRPr="00F1210F">
              <w:rPr>
                <w:rFonts w:ascii="游ゴシック" w:eastAsia="游ゴシック" w:hAnsi="游ゴシック" w:hint="eastAsia"/>
                <w:b/>
              </w:rPr>
              <w:t>9</w:t>
            </w:r>
            <w:r w:rsidR="0062661E" w:rsidRPr="00F1210F">
              <w:rPr>
                <w:rFonts w:ascii="游ゴシック" w:eastAsia="游ゴシック" w:hAnsi="游ゴシック" w:hint="eastAsia"/>
                <w:b/>
              </w:rPr>
              <w:t>1.</w:t>
            </w:r>
            <w:r w:rsidR="004F1D6A">
              <w:rPr>
                <w:rFonts w:ascii="游ゴシック" w:eastAsia="游ゴシック" w:hAnsi="游ゴシック"/>
                <w:b/>
              </w:rPr>
              <w:t>8</w:t>
            </w:r>
            <w:r w:rsidRPr="00F1210F">
              <w:rPr>
                <w:rFonts w:ascii="游ゴシック" w:eastAsia="游ゴシック" w:hAnsi="游ゴシック" w:hint="eastAsia"/>
                <w:b/>
              </w:rPr>
              <w:t>％</w:t>
            </w:r>
          </w:p>
        </w:tc>
        <w:tc>
          <w:tcPr>
            <w:tcW w:w="7513" w:type="dxa"/>
            <w:vMerge/>
          </w:tcPr>
          <w:p w:rsidR="009F6364" w:rsidRPr="00F1210F" w:rsidRDefault="009F6364" w:rsidP="00CF466F">
            <w:pPr>
              <w:ind w:left="210" w:hangingChars="100" w:hanging="210"/>
              <w:rPr>
                <w:rFonts w:ascii="游ゴシック" w:eastAsia="游ゴシック" w:hAnsi="游ゴシック"/>
              </w:rPr>
            </w:pPr>
          </w:p>
        </w:tc>
        <w:tc>
          <w:tcPr>
            <w:tcW w:w="7796" w:type="dxa"/>
            <w:vMerge/>
          </w:tcPr>
          <w:p w:rsidR="009F6364" w:rsidRPr="00F1210F" w:rsidRDefault="009F6364" w:rsidP="007F2B54">
            <w:pPr>
              <w:rPr>
                <w:rFonts w:ascii="游ゴシック" w:eastAsia="游ゴシック" w:hAnsi="游ゴシック"/>
              </w:rPr>
            </w:pPr>
          </w:p>
        </w:tc>
      </w:tr>
      <w:tr w:rsidR="009F6364" w:rsidRPr="00F1210F" w:rsidTr="00EC25F1">
        <w:trPr>
          <w:trHeight w:val="3304"/>
        </w:trPr>
        <w:tc>
          <w:tcPr>
            <w:tcW w:w="279" w:type="dxa"/>
            <w:tcBorders>
              <w:bottom w:val="nil"/>
              <w:right w:val="nil"/>
            </w:tcBorders>
            <w:vAlign w:val="center"/>
          </w:tcPr>
          <w:p w:rsidR="009F6364" w:rsidRPr="00F1210F" w:rsidRDefault="009F6364" w:rsidP="00870912">
            <w:pPr>
              <w:jc w:val="center"/>
              <w:rPr>
                <w:rFonts w:ascii="游ゴシック" w:eastAsia="游ゴシック" w:hAnsi="游ゴシック"/>
              </w:rPr>
            </w:pPr>
          </w:p>
        </w:tc>
        <w:tc>
          <w:tcPr>
            <w:tcW w:w="1617" w:type="dxa"/>
            <w:tcBorders>
              <w:left w:val="nil"/>
              <w:bottom w:val="dashed" w:sz="4" w:space="0" w:color="auto"/>
            </w:tcBorders>
            <w:vAlign w:val="center"/>
          </w:tcPr>
          <w:p w:rsidR="009F6364" w:rsidRPr="00F1210F" w:rsidRDefault="009F6364" w:rsidP="00CD3D47">
            <w:pPr>
              <w:jc w:val="left"/>
              <w:rPr>
                <w:rFonts w:ascii="游ゴシック" w:eastAsia="游ゴシック" w:hAnsi="游ゴシック"/>
              </w:rPr>
            </w:pPr>
            <w:r w:rsidRPr="00F1210F">
              <w:rPr>
                <w:rFonts w:ascii="游ゴシック" w:eastAsia="游ゴシック" w:hAnsi="游ゴシック" w:hint="eastAsia"/>
              </w:rPr>
              <w:t>最終処分量</w:t>
            </w:r>
          </w:p>
          <w:p w:rsidR="009F6364" w:rsidRPr="00F1210F" w:rsidRDefault="009F6364" w:rsidP="00CD3D47">
            <w:pPr>
              <w:jc w:val="left"/>
              <w:rPr>
                <w:rFonts w:ascii="游ゴシック" w:eastAsia="游ゴシック" w:hAnsi="游ゴシック"/>
              </w:rPr>
            </w:pPr>
            <w:r w:rsidRPr="00F1210F">
              <w:rPr>
                <w:rFonts w:ascii="游ゴシック" w:eastAsia="游ゴシック" w:hAnsi="游ゴシック" w:hint="eastAsia"/>
              </w:rPr>
              <w:t>（万トン）</w:t>
            </w:r>
          </w:p>
        </w:tc>
        <w:tc>
          <w:tcPr>
            <w:tcW w:w="1480" w:type="dxa"/>
            <w:tcBorders>
              <w:bottom w:val="dashed" w:sz="4" w:space="0" w:color="auto"/>
            </w:tcBorders>
            <w:vAlign w:val="center"/>
          </w:tcPr>
          <w:p w:rsidR="009F6364" w:rsidRPr="00F1210F" w:rsidRDefault="009F6364" w:rsidP="007F2B54">
            <w:pPr>
              <w:jc w:val="center"/>
              <w:rPr>
                <w:rFonts w:ascii="游ゴシック" w:eastAsia="游ゴシック" w:hAnsi="游ゴシック"/>
              </w:rPr>
            </w:pPr>
            <w:r w:rsidRPr="00F1210F">
              <w:rPr>
                <w:rFonts w:ascii="游ゴシック" w:eastAsia="游ゴシック" w:hAnsi="游ゴシック" w:hint="eastAsia"/>
              </w:rPr>
              <w:t>38</w:t>
            </w:r>
          </w:p>
        </w:tc>
        <w:tc>
          <w:tcPr>
            <w:tcW w:w="1260" w:type="dxa"/>
            <w:tcBorders>
              <w:bottom w:val="dashed" w:sz="4" w:space="0" w:color="auto"/>
            </w:tcBorders>
            <w:vAlign w:val="center"/>
          </w:tcPr>
          <w:p w:rsidR="009F6364" w:rsidRPr="00F1210F" w:rsidRDefault="009F6364" w:rsidP="00040CB2">
            <w:pPr>
              <w:jc w:val="center"/>
              <w:rPr>
                <w:rFonts w:ascii="游ゴシック" w:eastAsia="游ゴシック" w:hAnsi="游ゴシック"/>
                <w:b/>
              </w:rPr>
            </w:pPr>
            <w:r w:rsidRPr="00F1210F">
              <w:rPr>
                <w:rFonts w:ascii="游ゴシック" w:eastAsia="游ゴシック" w:hAnsi="游ゴシック"/>
                <w:b/>
              </w:rPr>
              <w:t>37</w:t>
            </w:r>
          </w:p>
        </w:tc>
        <w:tc>
          <w:tcPr>
            <w:tcW w:w="1596" w:type="dxa"/>
            <w:tcBorders>
              <w:bottom w:val="dashed" w:sz="4" w:space="0" w:color="auto"/>
            </w:tcBorders>
            <w:vAlign w:val="center"/>
          </w:tcPr>
          <w:p w:rsidR="003C07F5" w:rsidRPr="00F1210F" w:rsidRDefault="003C07F5" w:rsidP="003C07F5">
            <w:pPr>
              <w:jc w:val="center"/>
              <w:rPr>
                <w:rFonts w:ascii="游ゴシック" w:eastAsia="游ゴシック" w:hAnsi="游ゴシック"/>
                <w:b/>
              </w:rPr>
            </w:pPr>
            <w:r w:rsidRPr="00F1210F">
              <w:rPr>
                <w:rFonts w:ascii="游ゴシック" w:eastAsia="游ゴシック" w:hAnsi="游ゴシック" w:hint="eastAsia"/>
                <w:b/>
              </w:rPr>
              <w:t>4</w:t>
            </w:r>
            <w:r w:rsidR="004F015D">
              <w:rPr>
                <w:rFonts w:ascii="游ゴシック" w:eastAsia="游ゴシック" w:hAnsi="游ゴシック" w:hint="eastAsia"/>
                <w:b/>
              </w:rPr>
              <w:t>0</w:t>
            </w:r>
          </w:p>
          <w:p w:rsidR="009F6364" w:rsidRPr="00F1210F" w:rsidRDefault="003C07F5" w:rsidP="003C07F5">
            <w:pPr>
              <w:jc w:val="center"/>
              <w:rPr>
                <w:rFonts w:ascii="游ゴシック" w:eastAsia="游ゴシック" w:hAnsi="游ゴシック"/>
                <w:b/>
              </w:rPr>
            </w:pPr>
            <w:r w:rsidRPr="00F1210F">
              <w:rPr>
                <w:rFonts w:ascii="游ゴシック" w:eastAsia="游ゴシック" w:hAnsi="游ゴシック" w:hint="eastAsia"/>
                <w:b/>
              </w:rPr>
              <w:t>（＋</w:t>
            </w:r>
            <w:r w:rsidR="004F015D">
              <w:rPr>
                <w:rFonts w:ascii="游ゴシック" w:eastAsia="游ゴシック" w:hAnsi="游ゴシック" w:hint="eastAsia"/>
                <w:b/>
              </w:rPr>
              <w:t>3</w:t>
            </w:r>
            <w:r w:rsidRPr="00F1210F">
              <w:rPr>
                <w:rFonts w:ascii="游ゴシック" w:eastAsia="游ゴシック" w:hAnsi="游ゴシック" w:hint="eastAsia"/>
                <w:b/>
              </w:rPr>
              <w:t>）</w:t>
            </w:r>
          </w:p>
        </w:tc>
        <w:tc>
          <w:tcPr>
            <w:tcW w:w="7513" w:type="dxa"/>
            <w:vMerge w:val="restart"/>
          </w:tcPr>
          <w:p w:rsidR="009F6364" w:rsidRPr="00F1210F" w:rsidRDefault="009F6364" w:rsidP="00D0430A">
            <w:pPr>
              <w:ind w:left="210" w:hangingChars="100" w:hanging="210"/>
              <w:rPr>
                <w:rFonts w:ascii="游ゴシック" w:eastAsia="游ゴシック" w:hAnsi="游ゴシック"/>
              </w:rPr>
            </w:pPr>
            <w:r w:rsidRPr="00F1210F">
              <w:rPr>
                <w:rFonts w:ascii="游ゴシック" w:eastAsia="游ゴシック" w:hAnsi="游ゴシック" w:hint="eastAsia"/>
              </w:rPr>
              <w:t>＜最終処分量＞</w:t>
            </w:r>
          </w:p>
          <w:p w:rsidR="009F6364" w:rsidRPr="00F1210F" w:rsidRDefault="009F6364" w:rsidP="002E58B0">
            <w:pPr>
              <w:ind w:firstLineChars="100" w:firstLine="210"/>
              <w:rPr>
                <w:rFonts w:ascii="游ゴシック" w:eastAsia="游ゴシック" w:hAnsi="游ゴシック"/>
              </w:rPr>
            </w:pPr>
            <w:r w:rsidRPr="00F1210F">
              <w:rPr>
                <w:rFonts w:ascii="游ゴシック" w:eastAsia="游ゴシック" w:hAnsi="游ゴシック" w:hint="eastAsia"/>
              </w:rPr>
              <w:t>業種毎の最終処分量は、2014年度比で建設業が</w:t>
            </w:r>
            <w:r w:rsidR="002E58B0">
              <w:rPr>
                <w:rFonts w:ascii="游ゴシック" w:eastAsia="游ゴシック" w:hAnsi="游ゴシック"/>
              </w:rPr>
              <w:t>0.5</w:t>
            </w:r>
            <w:r w:rsidRPr="00F1210F">
              <w:rPr>
                <w:rFonts w:ascii="游ゴシック" w:eastAsia="游ゴシック" w:hAnsi="游ゴシック" w:hint="eastAsia"/>
              </w:rPr>
              <w:t>万トン増（＋</w:t>
            </w:r>
            <w:r w:rsidR="002E58B0">
              <w:rPr>
                <w:rFonts w:ascii="游ゴシック" w:eastAsia="游ゴシック" w:hAnsi="游ゴシック" w:hint="eastAsia"/>
              </w:rPr>
              <w:t>３</w:t>
            </w:r>
            <w:r w:rsidR="007F6DC8">
              <w:rPr>
                <w:rFonts w:ascii="游ゴシック" w:eastAsia="游ゴシック" w:hAnsi="游ゴシック" w:hint="eastAsia"/>
              </w:rPr>
              <w:t>％</w:t>
            </w:r>
            <w:r w:rsidRPr="00F1210F">
              <w:rPr>
                <w:rFonts w:ascii="游ゴシック" w:eastAsia="游ゴシック" w:hAnsi="游ゴシック" w:hint="eastAsia"/>
              </w:rPr>
              <w:t>）、製造業が</w:t>
            </w:r>
            <w:r w:rsidR="00A750BD" w:rsidRPr="00F1210F">
              <w:rPr>
                <w:rFonts w:ascii="游ゴシック" w:eastAsia="游ゴシック" w:hAnsi="游ゴシック" w:hint="eastAsia"/>
              </w:rPr>
              <w:t>0.</w:t>
            </w:r>
            <w:r w:rsidR="002E58B0">
              <w:rPr>
                <w:rFonts w:ascii="游ゴシック" w:eastAsia="游ゴシック" w:hAnsi="游ゴシック"/>
              </w:rPr>
              <w:t>4</w:t>
            </w:r>
            <w:r w:rsidRPr="00F1210F">
              <w:rPr>
                <w:rFonts w:ascii="游ゴシック" w:eastAsia="游ゴシック" w:hAnsi="游ゴシック" w:hint="eastAsia"/>
              </w:rPr>
              <w:t>万トン増（＋</w:t>
            </w:r>
            <w:r w:rsidR="002E58B0">
              <w:rPr>
                <w:rFonts w:ascii="游ゴシック" w:eastAsia="游ゴシック" w:hAnsi="游ゴシック" w:hint="eastAsia"/>
              </w:rPr>
              <w:t>３</w:t>
            </w:r>
            <w:r w:rsidR="007F6DC8">
              <w:rPr>
                <w:rFonts w:ascii="游ゴシック" w:eastAsia="游ゴシック" w:hAnsi="游ゴシック" w:hint="eastAsia"/>
              </w:rPr>
              <w:t>％</w:t>
            </w:r>
            <w:r w:rsidRPr="00F1210F">
              <w:rPr>
                <w:rFonts w:ascii="游ゴシック" w:eastAsia="游ゴシック" w:hAnsi="游ゴシック" w:hint="eastAsia"/>
              </w:rPr>
              <w:t>）、電気・水道業が1.0万トン減（－30</w:t>
            </w:r>
            <w:r w:rsidR="007F6DC8">
              <w:rPr>
                <w:rFonts w:ascii="游ゴシック" w:eastAsia="游ゴシック" w:hAnsi="游ゴシック" w:hint="eastAsia"/>
              </w:rPr>
              <w:t>％</w:t>
            </w:r>
            <w:r w:rsidRPr="00F1210F">
              <w:rPr>
                <w:rFonts w:ascii="游ゴシック" w:eastAsia="游ゴシック" w:hAnsi="游ゴシック" w:hint="eastAsia"/>
              </w:rPr>
              <w:t>）</w:t>
            </w:r>
            <w:r w:rsidR="007F6DC8" w:rsidRPr="00F1210F">
              <w:rPr>
                <w:rFonts w:ascii="游ゴシック" w:eastAsia="游ゴシック" w:hAnsi="游ゴシック" w:hint="eastAsia"/>
              </w:rPr>
              <w:t>とな</w:t>
            </w:r>
            <w:r w:rsidR="007F6DC8">
              <w:rPr>
                <w:rFonts w:ascii="游ゴシック" w:eastAsia="游ゴシック" w:hAnsi="游ゴシック" w:hint="eastAsia"/>
              </w:rPr>
              <w:t>り、</w:t>
            </w:r>
            <w:r w:rsidR="00B24548">
              <w:rPr>
                <w:rFonts w:ascii="游ゴシック" w:eastAsia="游ゴシック" w:hAnsi="游ゴシック" w:hint="eastAsia"/>
              </w:rPr>
              <w:t>主たる3業種では横ばいであったが、</w:t>
            </w:r>
            <w:r w:rsidR="007F6DC8">
              <w:rPr>
                <w:rFonts w:ascii="游ゴシック" w:eastAsia="游ゴシック" w:hAnsi="游ゴシック" w:hint="eastAsia"/>
              </w:rPr>
              <w:t>全体では1.4万トン増（＋４％）</w:t>
            </w:r>
            <w:r w:rsidRPr="00F1210F">
              <w:rPr>
                <w:rFonts w:ascii="游ゴシック" w:eastAsia="游ゴシック" w:hAnsi="游ゴシック" w:hint="eastAsia"/>
              </w:rPr>
              <w:t>となった。</w:t>
            </w:r>
          </w:p>
          <w:p w:rsidR="009F6364" w:rsidRPr="006B08E5" w:rsidRDefault="005A53A7" w:rsidP="007F6DC8">
            <w:pPr>
              <w:ind w:firstLineChars="100" w:firstLine="210"/>
              <w:rPr>
                <w:rFonts w:ascii="游ゴシック" w:eastAsia="游ゴシック" w:hAnsi="游ゴシック"/>
              </w:rPr>
            </w:pPr>
            <w:r w:rsidRPr="00F1210F">
              <w:rPr>
                <w:rFonts w:ascii="游ゴシック" w:eastAsia="游ゴシック" w:hAnsi="游ゴシック" w:hint="eastAsia"/>
              </w:rPr>
              <w:t>建設業においては、全体的には再生利用率は</w:t>
            </w:r>
            <w:r w:rsidR="001456A6" w:rsidRPr="00F1210F">
              <w:rPr>
                <w:rFonts w:ascii="游ゴシック" w:eastAsia="游ゴシック" w:hAnsi="游ゴシック" w:hint="eastAsia"/>
              </w:rPr>
              <w:t>上がっているも</w:t>
            </w:r>
            <w:r w:rsidRPr="00F1210F">
              <w:rPr>
                <w:rFonts w:ascii="游ゴシック" w:eastAsia="游ゴシック" w:hAnsi="游ゴシック" w:hint="eastAsia"/>
              </w:rPr>
              <w:t>のの、</w:t>
            </w:r>
            <w:r w:rsidR="000C41CE">
              <w:rPr>
                <w:rFonts w:ascii="游ゴシック" w:eastAsia="游ゴシック" w:hAnsi="游ゴシック" w:hint="eastAsia"/>
              </w:rPr>
              <w:t>ガラスくず、木くず、繊維くず</w:t>
            </w:r>
            <w:r w:rsidRPr="00F1210F">
              <w:rPr>
                <w:rFonts w:ascii="游ゴシック" w:eastAsia="游ゴシック" w:hAnsi="游ゴシック" w:hint="eastAsia"/>
              </w:rPr>
              <w:t>の</w:t>
            </w:r>
            <w:r w:rsidR="00303E7F" w:rsidRPr="00F1210F">
              <w:rPr>
                <w:rFonts w:ascii="游ゴシック" w:eastAsia="游ゴシック" w:hAnsi="游ゴシック" w:hint="eastAsia"/>
              </w:rPr>
              <w:t>最終処分量が微増</w:t>
            </w:r>
            <w:r w:rsidR="00B24548">
              <w:rPr>
                <w:rFonts w:ascii="游ゴシック" w:eastAsia="游ゴシック" w:hAnsi="游ゴシック" w:hint="eastAsia"/>
              </w:rPr>
              <w:t>であった</w:t>
            </w:r>
            <w:r w:rsidR="009F6364" w:rsidRPr="00F1210F">
              <w:rPr>
                <w:rFonts w:ascii="游ゴシック" w:eastAsia="游ゴシック" w:hAnsi="游ゴシック" w:hint="eastAsia"/>
              </w:rPr>
              <w:t>。</w:t>
            </w:r>
          </w:p>
        </w:tc>
        <w:tc>
          <w:tcPr>
            <w:tcW w:w="7796" w:type="dxa"/>
            <w:vMerge/>
          </w:tcPr>
          <w:p w:rsidR="009F6364" w:rsidRPr="00F1210F" w:rsidRDefault="009F6364" w:rsidP="00AA04B0">
            <w:pPr>
              <w:ind w:firstLineChars="200" w:firstLine="420"/>
              <w:rPr>
                <w:rFonts w:ascii="游ゴシック" w:eastAsia="游ゴシック" w:hAnsi="游ゴシック"/>
              </w:rPr>
            </w:pPr>
          </w:p>
        </w:tc>
      </w:tr>
      <w:tr w:rsidR="009F6364" w:rsidRPr="00A179A9" w:rsidTr="00444DE5">
        <w:trPr>
          <w:trHeight w:val="1361"/>
        </w:trPr>
        <w:tc>
          <w:tcPr>
            <w:tcW w:w="279" w:type="dxa"/>
            <w:tcBorders>
              <w:top w:val="nil"/>
              <w:right w:val="dashed" w:sz="4" w:space="0" w:color="auto"/>
            </w:tcBorders>
            <w:vAlign w:val="center"/>
          </w:tcPr>
          <w:p w:rsidR="009F6364" w:rsidRPr="00F1210F" w:rsidRDefault="009F6364" w:rsidP="00870912">
            <w:pPr>
              <w:jc w:val="center"/>
              <w:rPr>
                <w:rFonts w:ascii="游ゴシック" w:eastAsia="游ゴシック" w:hAnsi="游ゴシック"/>
              </w:rPr>
            </w:pPr>
          </w:p>
        </w:tc>
        <w:tc>
          <w:tcPr>
            <w:tcW w:w="1617" w:type="dxa"/>
            <w:tcBorders>
              <w:top w:val="dashed" w:sz="4" w:space="0" w:color="auto"/>
              <w:left w:val="dashed" w:sz="4" w:space="0" w:color="auto"/>
            </w:tcBorders>
            <w:vAlign w:val="center"/>
          </w:tcPr>
          <w:p w:rsidR="00CD3D47" w:rsidRPr="00F1210F" w:rsidRDefault="00CD3D47" w:rsidP="00CD3D47">
            <w:pPr>
              <w:ind w:leftChars="-50" w:left="-105" w:rightChars="-20" w:right="-42"/>
              <w:jc w:val="center"/>
              <w:rPr>
                <w:rFonts w:ascii="游ゴシック" w:eastAsia="游ゴシック" w:hAnsi="游ゴシック"/>
                <w:spacing w:val="-10"/>
              </w:rPr>
            </w:pPr>
            <w:r w:rsidRPr="00F1210F">
              <w:rPr>
                <w:rFonts w:ascii="游ゴシック" w:eastAsia="游ゴシック" w:hAnsi="游ゴシック" w:hint="eastAsia"/>
                <w:spacing w:val="-10"/>
              </w:rPr>
              <w:t>排出量から</w:t>
            </w:r>
          </w:p>
          <w:p w:rsidR="00CD3D47" w:rsidRPr="00F1210F" w:rsidRDefault="00CD3D47" w:rsidP="00CD3D47">
            <w:pPr>
              <w:ind w:leftChars="-50" w:left="-105" w:rightChars="-20" w:right="-42"/>
              <w:jc w:val="center"/>
              <w:rPr>
                <w:rFonts w:ascii="游ゴシック" w:eastAsia="游ゴシック" w:hAnsi="游ゴシック"/>
                <w:spacing w:val="-10"/>
              </w:rPr>
            </w:pPr>
            <w:r w:rsidRPr="00F1210F">
              <w:rPr>
                <w:rFonts w:ascii="游ゴシック" w:eastAsia="游ゴシック" w:hAnsi="游ゴシック" w:hint="eastAsia"/>
                <w:spacing w:val="-10"/>
              </w:rPr>
              <w:t>減量化量を除いた</w:t>
            </w:r>
          </w:p>
          <w:p w:rsidR="009F6364" w:rsidRPr="00F1210F" w:rsidRDefault="00CD3D47" w:rsidP="00CD3D47">
            <w:pPr>
              <w:ind w:leftChars="-50" w:left="-105" w:rightChars="-20" w:right="-42"/>
              <w:jc w:val="center"/>
              <w:rPr>
                <w:rFonts w:ascii="游ゴシック" w:eastAsia="游ゴシック" w:hAnsi="游ゴシック"/>
              </w:rPr>
            </w:pPr>
            <w:r w:rsidRPr="00F1210F">
              <w:rPr>
                <w:rFonts w:ascii="游ゴシック" w:eastAsia="游ゴシック" w:hAnsi="游ゴシック" w:hint="eastAsia"/>
                <w:spacing w:val="-10"/>
              </w:rPr>
              <w:t>最終処分率</w:t>
            </w:r>
          </w:p>
        </w:tc>
        <w:tc>
          <w:tcPr>
            <w:tcW w:w="1480" w:type="dxa"/>
            <w:tcBorders>
              <w:top w:val="dashed" w:sz="4" w:space="0" w:color="auto"/>
            </w:tcBorders>
            <w:vAlign w:val="center"/>
          </w:tcPr>
          <w:p w:rsidR="009F6364" w:rsidRPr="00F1210F" w:rsidRDefault="00CD3D47" w:rsidP="007F2B54">
            <w:pPr>
              <w:jc w:val="center"/>
              <w:rPr>
                <w:rFonts w:ascii="游ゴシック" w:eastAsia="游ゴシック" w:hAnsi="游ゴシック"/>
              </w:rPr>
            </w:pPr>
            <w:r w:rsidRPr="00F1210F">
              <w:rPr>
                <w:rFonts w:ascii="游ゴシック" w:eastAsia="游ゴシック" w:hAnsi="游ゴシック" w:hint="eastAsia"/>
              </w:rPr>
              <w:t>7.3％</w:t>
            </w:r>
          </w:p>
        </w:tc>
        <w:tc>
          <w:tcPr>
            <w:tcW w:w="1260" w:type="dxa"/>
            <w:tcBorders>
              <w:top w:val="dashed" w:sz="4" w:space="0" w:color="auto"/>
            </w:tcBorders>
            <w:vAlign w:val="center"/>
          </w:tcPr>
          <w:p w:rsidR="009F6364" w:rsidRPr="00F1210F" w:rsidRDefault="00CD3D47" w:rsidP="00040CB2">
            <w:pPr>
              <w:jc w:val="center"/>
              <w:rPr>
                <w:rFonts w:ascii="游ゴシック" w:eastAsia="游ゴシック" w:hAnsi="游ゴシック"/>
                <w:b/>
              </w:rPr>
            </w:pPr>
            <w:r w:rsidRPr="00F1210F">
              <w:rPr>
                <w:rFonts w:ascii="游ゴシック" w:eastAsia="游ゴシック" w:hAnsi="游ゴシック" w:hint="eastAsia"/>
                <w:b/>
              </w:rPr>
              <w:t>―</w:t>
            </w:r>
          </w:p>
        </w:tc>
        <w:tc>
          <w:tcPr>
            <w:tcW w:w="1596" w:type="dxa"/>
            <w:tcBorders>
              <w:top w:val="dashed" w:sz="4" w:space="0" w:color="auto"/>
            </w:tcBorders>
            <w:vAlign w:val="center"/>
          </w:tcPr>
          <w:p w:rsidR="009F6364" w:rsidRPr="00DC03DD" w:rsidRDefault="0062661E" w:rsidP="004F1D6A">
            <w:pPr>
              <w:jc w:val="center"/>
              <w:rPr>
                <w:rFonts w:ascii="游ゴシック" w:eastAsia="游ゴシック" w:hAnsi="游ゴシック"/>
                <w:b/>
              </w:rPr>
            </w:pPr>
            <w:r w:rsidRPr="00F1210F">
              <w:rPr>
                <w:rFonts w:ascii="游ゴシック" w:eastAsia="游ゴシック" w:hAnsi="游ゴシック" w:hint="eastAsia"/>
                <w:b/>
              </w:rPr>
              <w:t>8.</w:t>
            </w:r>
            <w:r w:rsidR="004F1D6A">
              <w:rPr>
                <w:rFonts w:ascii="游ゴシック" w:eastAsia="游ゴシック" w:hAnsi="游ゴシック"/>
                <w:b/>
              </w:rPr>
              <w:t>2</w:t>
            </w:r>
            <w:r w:rsidR="00C036F7" w:rsidRPr="00F1210F">
              <w:rPr>
                <w:rFonts w:ascii="游ゴシック" w:eastAsia="游ゴシック" w:hAnsi="游ゴシック" w:hint="eastAsia"/>
                <w:b/>
              </w:rPr>
              <w:t>％</w:t>
            </w:r>
          </w:p>
        </w:tc>
        <w:tc>
          <w:tcPr>
            <w:tcW w:w="7513" w:type="dxa"/>
            <w:vMerge/>
          </w:tcPr>
          <w:p w:rsidR="009F6364" w:rsidRDefault="009F6364" w:rsidP="00D0430A">
            <w:pPr>
              <w:ind w:left="210" w:hangingChars="100" w:hanging="210"/>
              <w:rPr>
                <w:rFonts w:ascii="游ゴシック" w:eastAsia="游ゴシック" w:hAnsi="游ゴシック"/>
              </w:rPr>
            </w:pPr>
          </w:p>
        </w:tc>
        <w:tc>
          <w:tcPr>
            <w:tcW w:w="7796" w:type="dxa"/>
            <w:vMerge/>
          </w:tcPr>
          <w:p w:rsidR="009F6364" w:rsidRPr="00A179A9" w:rsidRDefault="009F6364" w:rsidP="00AA04B0">
            <w:pPr>
              <w:ind w:firstLineChars="200" w:firstLine="420"/>
              <w:rPr>
                <w:rFonts w:ascii="游ゴシック" w:eastAsia="游ゴシック" w:hAnsi="游ゴシック"/>
              </w:rPr>
            </w:pPr>
          </w:p>
        </w:tc>
      </w:tr>
    </w:tbl>
    <w:p w:rsidR="00FD29BA" w:rsidRDefault="00FD29BA" w:rsidP="00E12D79">
      <w:pPr>
        <w:rPr>
          <w:rFonts w:ascii="游ゴシック" w:eastAsia="游ゴシック" w:hAnsi="游ゴシック"/>
        </w:rPr>
      </w:pPr>
    </w:p>
    <w:sectPr w:rsidR="00FD29BA" w:rsidSect="008F16CB">
      <w:headerReference w:type="even" r:id="rId7"/>
      <w:headerReference w:type="default" r:id="rId8"/>
      <w:footerReference w:type="even" r:id="rId9"/>
      <w:footerReference w:type="default" r:id="rId10"/>
      <w:headerReference w:type="first" r:id="rId11"/>
      <w:footerReference w:type="first" r:id="rId12"/>
      <w:pgSz w:w="23811" w:h="16838" w:orient="landscape" w:code="8"/>
      <w:pgMar w:top="851" w:right="1418" w:bottom="1134" w:left="1418" w:header="851" w:footer="992" w:gutter="0"/>
      <w:cols w:space="425"/>
      <w:docGrid w:type="lines" w:linePitch="360" w:charSpace="46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4BA" w:rsidRDefault="00A324BA" w:rsidP="00A324BA">
      <w:r>
        <w:separator/>
      </w:r>
    </w:p>
  </w:endnote>
  <w:endnote w:type="continuationSeparator" w:id="0">
    <w:p w:rsidR="00A324BA" w:rsidRDefault="00A324BA" w:rsidP="00A3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480" w:rsidRDefault="009104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480" w:rsidRDefault="0091048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480" w:rsidRDefault="009104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4BA" w:rsidRDefault="00A324BA" w:rsidP="00A324BA">
      <w:r>
        <w:separator/>
      </w:r>
    </w:p>
  </w:footnote>
  <w:footnote w:type="continuationSeparator" w:id="0">
    <w:p w:rsidR="00A324BA" w:rsidRDefault="00A324BA" w:rsidP="00A32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480" w:rsidRDefault="0091048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480" w:rsidRDefault="0091048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480" w:rsidRDefault="009104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437"/>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F5"/>
    <w:rsid w:val="00005AF4"/>
    <w:rsid w:val="000258C2"/>
    <w:rsid w:val="00040CB2"/>
    <w:rsid w:val="00084BD0"/>
    <w:rsid w:val="00090809"/>
    <w:rsid w:val="000A775C"/>
    <w:rsid w:val="000B4C6D"/>
    <w:rsid w:val="000C41CE"/>
    <w:rsid w:val="000E2EBB"/>
    <w:rsid w:val="000F6014"/>
    <w:rsid w:val="001456A6"/>
    <w:rsid w:val="001532D0"/>
    <w:rsid w:val="00164A00"/>
    <w:rsid w:val="001715C5"/>
    <w:rsid w:val="00192824"/>
    <w:rsid w:val="001931A3"/>
    <w:rsid w:val="001B2220"/>
    <w:rsid w:val="001B5E58"/>
    <w:rsid w:val="001C7EBB"/>
    <w:rsid w:val="00210631"/>
    <w:rsid w:val="002305C9"/>
    <w:rsid w:val="00236C63"/>
    <w:rsid w:val="00237C08"/>
    <w:rsid w:val="00255D4A"/>
    <w:rsid w:val="00270E4D"/>
    <w:rsid w:val="0028465B"/>
    <w:rsid w:val="0028792C"/>
    <w:rsid w:val="00295410"/>
    <w:rsid w:val="002A2E03"/>
    <w:rsid w:val="002E124B"/>
    <w:rsid w:val="002E58B0"/>
    <w:rsid w:val="00303E7F"/>
    <w:rsid w:val="003434D5"/>
    <w:rsid w:val="00354BF4"/>
    <w:rsid w:val="00370A89"/>
    <w:rsid w:val="0038340F"/>
    <w:rsid w:val="00385761"/>
    <w:rsid w:val="003B1467"/>
    <w:rsid w:val="003C07F5"/>
    <w:rsid w:val="003D24C1"/>
    <w:rsid w:val="003F1D38"/>
    <w:rsid w:val="004123E3"/>
    <w:rsid w:val="00444DE5"/>
    <w:rsid w:val="00447B6E"/>
    <w:rsid w:val="00471F9C"/>
    <w:rsid w:val="0049415E"/>
    <w:rsid w:val="004C2289"/>
    <w:rsid w:val="004D0476"/>
    <w:rsid w:val="004E45BB"/>
    <w:rsid w:val="004F015D"/>
    <w:rsid w:val="004F1D6A"/>
    <w:rsid w:val="004F2312"/>
    <w:rsid w:val="005062DA"/>
    <w:rsid w:val="005164DE"/>
    <w:rsid w:val="00526771"/>
    <w:rsid w:val="00541FB5"/>
    <w:rsid w:val="0055076B"/>
    <w:rsid w:val="00551356"/>
    <w:rsid w:val="00573340"/>
    <w:rsid w:val="00595354"/>
    <w:rsid w:val="005A53A7"/>
    <w:rsid w:val="00605861"/>
    <w:rsid w:val="0060703B"/>
    <w:rsid w:val="00617BE7"/>
    <w:rsid w:val="0062661E"/>
    <w:rsid w:val="006718F8"/>
    <w:rsid w:val="0068786C"/>
    <w:rsid w:val="006A5396"/>
    <w:rsid w:val="006B08E5"/>
    <w:rsid w:val="006D61B7"/>
    <w:rsid w:val="00710298"/>
    <w:rsid w:val="00711CA4"/>
    <w:rsid w:val="007138E9"/>
    <w:rsid w:val="00720045"/>
    <w:rsid w:val="00724F4B"/>
    <w:rsid w:val="007612C9"/>
    <w:rsid w:val="00765CB9"/>
    <w:rsid w:val="007751B4"/>
    <w:rsid w:val="00781F11"/>
    <w:rsid w:val="00795F4D"/>
    <w:rsid w:val="00796916"/>
    <w:rsid w:val="007C01CE"/>
    <w:rsid w:val="007C12B1"/>
    <w:rsid w:val="007C4DBD"/>
    <w:rsid w:val="007D1CB0"/>
    <w:rsid w:val="007D69AD"/>
    <w:rsid w:val="007D7770"/>
    <w:rsid w:val="007E7EB0"/>
    <w:rsid w:val="007F2B54"/>
    <w:rsid w:val="007F6DC8"/>
    <w:rsid w:val="00807410"/>
    <w:rsid w:val="00807A5E"/>
    <w:rsid w:val="008202F5"/>
    <w:rsid w:val="00845426"/>
    <w:rsid w:val="00870912"/>
    <w:rsid w:val="008B3F8F"/>
    <w:rsid w:val="008C1DDF"/>
    <w:rsid w:val="008F16CB"/>
    <w:rsid w:val="00902959"/>
    <w:rsid w:val="00910480"/>
    <w:rsid w:val="009141F0"/>
    <w:rsid w:val="009173E8"/>
    <w:rsid w:val="00920050"/>
    <w:rsid w:val="009441AE"/>
    <w:rsid w:val="00945EED"/>
    <w:rsid w:val="009474B4"/>
    <w:rsid w:val="009543A7"/>
    <w:rsid w:val="009604D3"/>
    <w:rsid w:val="00962581"/>
    <w:rsid w:val="0097475E"/>
    <w:rsid w:val="00983B97"/>
    <w:rsid w:val="009868AA"/>
    <w:rsid w:val="009A7B3F"/>
    <w:rsid w:val="009C4E5E"/>
    <w:rsid w:val="009F4500"/>
    <w:rsid w:val="009F6364"/>
    <w:rsid w:val="00A02B40"/>
    <w:rsid w:val="00A179A9"/>
    <w:rsid w:val="00A2764C"/>
    <w:rsid w:val="00A324BA"/>
    <w:rsid w:val="00A70974"/>
    <w:rsid w:val="00A74947"/>
    <w:rsid w:val="00A750BD"/>
    <w:rsid w:val="00A96591"/>
    <w:rsid w:val="00AA04B0"/>
    <w:rsid w:val="00AB3288"/>
    <w:rsid w:val="00AF24E9"/>
    <w:rsid w:val="00AF51EA"/>
    <w:rsid w:val="00B15CFC"/>
    <w:rsid w:val="00B1763C"/>
    <w:rsid w:val="00B24548"/>
    <w:rsid w:val="00B92BD2"/>
    <w:rsid w:val="00BA1FCC"/>
    <w:rsid w:val="00C001AE"/>
    <w:rsid w:val="00C036F7"/>
    <w:rsid w:val="00C0596D"/>
    <w:rsid w:val="00C17658"/>
    <w:rsid w:val="00C2706A"/>
    <w:rsid w:val="00C566DB"/>
    <w:rsid w:val="00C967F8"/>
    <w:rsid w:val="00CA4308"/>
    <w:rsid w:val="00CA60BA"/>
    <w:rsid w:val="00CB29BC"/>
    <w:rsid w:val="00CB68D9"/>
    <w:rsid w:val="00CD3D47"/>
    <w:rsid w:val="00CE4228"/>
    <w:rsid w:val="00CE5E4B"/>
    <w:rsid w:val="00CF3837"/>
    <w:rsid w:val="00CF466F"/>
    <w:rsid w:val="00D0430A"/>
    <w:rsid w:val="00D16913"/>
    <w:rsid w:val="00D2140C"/>
    <w:rsid w:val="00D30353"/>
    <w:rsid w:val="00D50CF1"/>
    <w:rsid w:val="00DA61BA"/>
    <w:rsid w:val="00DC03DD"/>
    <w:rsid w:val="00DE043A"/>
    <w:rsid w:val="00E12D79"/>
    <w:rsid w:val="00E54004"/>
    <w:rsid w:val="00EA0CB7"/>
    <w:rsid w:val="00EA5942"/>
    <w:rsid w:val="00EC25F1"/>
    <w:rsid w:val="00F1210F"/>
    <w:rsid w:val="00F22A84"/>
    <w:rsid w:val="00F30AC9"/>
    <w:rsid w:val="00F315CC"/>
    <w:rsid w:val="00F352AC"/>
    <w:rsid w:val="00F371F5"/>
    <w:rsid w:val="00F4091C"/>
    <w:rsid w:val="00F63304"/>
    <w:rsid w:val="00F75960"/>
    <w:rsid w:val="00F921BC"/>
    <w:rsid w:val="00FA26D6"/>
    <w:rsid w:val="00FA44C2"/>
    <w:rsid w:val="00FD29BA"/>
    <w:rsid w:val="00FE368F"/>
    <w:rsid w:val="00FE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24BA"/>
    <w:pPr>
      <w:tabs>
        <w:tab w:val="center" w:pos="4252"/>
        <w:tab w:val="right" w:pos="8504"/>
      </w:tabs>
      <w:snapToGrid w:val="0"/>
    </w:pPr>
  </w:style>
  <w:style w:type="character" w:customStyle="1" w:styleId="a5">
    <w:name w:val="ヘッダー (文字)"/>
    <w:basedOn w:val="a0"/>
    <w:link w:val="a4"/>
    <w:uiPriority w:val="99"/>
    <w:rsid w:val="00A324BA"/>
  </w:style>
  <w:style w:type="paragraph" w:styleId="a6">
    <w:name w:val="footer"/>
    <w:basedOn w:val="a"/>
    <w:link w:val="a7"/>
    <w:uiPriority w:val="99"/>
    <w:unhideWhenUsed/>
    <w:rsid w:val="00A324BA"/>
    <w:pPr>
      <w:tabs>
        <w:tab w:val="center" w:pos="4252"/>
        <w:tab w:val="right" w:pos="8504"/>
      </w:tabs>
      <w:snapToGrid w:val="0"/>
    </w:pPr>
  </w:style>
  <w:style w:type="character" w:customStyle="1" w:styleId="a7">
    <w:name w:val="フッター (文字)"/>
    <w:basedOn w:val="a0"/>
    <w:link w:val="a6"/>
    <w:uiPriority w:val="99"/>
    <w:rsid w:val="00A324BA"/>
  </w:style>
  <w:style w:type="paragraph" w:styleId="a8">
    <w:name w:val="Balloon Text"/>
    <w:basedOn w:val="a"/>
    <w:link w:val="a9"/>
    <w:uiPriority w:val="99"/>
    <w:semiHidden/>
    <w:unhideWhenUsed/>
    <w:rsid w:val="00F352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5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3942">
      <w:bodyDiv w:val="1"/>
      <w:marLeft w:val="0"/>
      <w:marRight w:val="0"/>
      <w:marTop w:val="0"/>
      <w:marBottom w:val="0"/>
      <w:divBdr>
        <w:top w:val="none" w:sz="0" w:space="0" w:color="auto"/>
        <w:left w:val="none" w:sz="0" w:space="0" w:color="auto"/>
        <w:bottom w:val="none" w:sz="0" w:space="0" w:color="auto"/>
        <w:right w:val="none" w:sz="0" w:space="0" w:color="auto"/>
      </w:divBdr>
    </w:div>
    <w:div w:id="216402068">
      <w:bodyDiv w:val="1"/>
      <w:marLeft w:val="0"/>
      <w:marRight w:val="0"/>
      <w:marTop w:val="0"/>
      <w:marBottom w:val="0"/>
      <w:divBdr>
        <w:top w:val="none" w:sz="0" w:space="0" w:color="auto"/>
        <w:left w:val="none" w:sz="0" w:space="0" w:color="auto"/>
        <w:bottom w:val="none" w:sz="0" w:space="0" w:color="auto"/>
        <w:right w:val="none" w:sz="0" w:space="0" w:color="auto"/>
      </w:divBdr>
    </w:div>
    <w:div w:id="19577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AE11-1F51-44EF-A5DE-B4213AFA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2020-10-02T08:59:00Z</dcterms:created>
  <dcterms:modified xsi:type="dcterms:W3CDTF">2020-10-02T08:59:00Z</dcterms:modified>
</cp:coreProperties>
</file>