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021435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  <w:bookmarkStart w:id="0" w:name="_GoBack"/>
      <w:bookmarkEnd w:id="0"/>
    </w:p>
    <w:p w:rsidR="00F6487B" w:rsidRPr="00021435" w:rsidRDefault="00F6487B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E97FA9" w:rsidRPr="00021435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021435" w:rsidRDefault="002F122D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AD7CB3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令和２</w:t>
      </w:r>
      <w:r w:rsidR="005827D2" w:rsidRPr="00AD7CB3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年度一般会計補正予算（第</w:t>
      </w:r>
      <w:r w:rsidR="003E6D0B" w:rsidRPr="00AD7CB3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１４</w:t>
      </w:r>
      <w:r w:rsidR="00BA10ED" w:rsidRPr="00AD7CB3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号）</w:t>
      </w:r>
      <w:r w:rsidR="003E6D0B" w:rsidRPr="00AD7CB3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につい</w:t>
      </w:r>
      <w:r w:rsidR="003E6D0B" w:rsidRPr="00AD7CB3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680" w:id="-1949134079"/>
        </w:rPr>
        <w:t>て</w:t>
      </w:r>
    </w:p>
    <w:p w:rsidR="003E6D0B" w:rsidRPr="00BD284D" w:rsidRDefault="003E6D0B" w:rsidP="00BD284D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D284D">
        <w:rPr>
          <w:rFonts w:ascii="ＭＳ ゴシック" w:eastAsia="ＭＳ ゴシック" w:hAnsi="ＭＳ ゴシック" w:hint="eastAsia"/>
          <w:kern w:val="0"/>
          <w:sz w:val="32"/>
          <w:szCs w:val="32"/>
        </w:rPr>
        <w:t>（</w:t>
      </w:r>
      <w:r w:rsidR="00CD474D" w:rsidRPr="00BD284D">
        <w:rPr>
          <w:rFonts w:ascii="ＭＳ ゴシック" w:eastAsia="ＭＳ ゴシック" w:hAnsi="ＭＳ ゴシック" w:hint="eastAsia"/>
          <w:kern w:val="0"/>
          <w:sz w:val="32"/>
          <w:szCs w:val="32"/>
        </w:rPr>
        <w:t>令和３年１</w:t>
      </w:r>
      <w:r w:rsidR="00BD284D" w:rsidRPr="00BD284D">
        <w:rPr>
          <w:rFonts w:ascii="ＭＳ ゴシック" w:eastAsia="ＭＳ ゴシック" w:hAnsi="ＭＳ ゴシック" w:hint="eastAsia"/>
          <w:kern w:val="0"/>
          <w:sz w:val="32"/>
          <w:szCs w:val="32"/>
        </w:rPr>
        <w:t>月８</w:t>
      </w:r>
      <w:r w:rsidRPr="00BD284D">
        <w:rPr>
          <w:rFonts w:ascii="ＭＳ ゴシック" w:eastAsia="ＭＳ ゴシック" w:hAnsi="ＭＳ ゴシック" w:hint="eastAsia"/>
          <w:kern w:val="0"/>
          <w:sz w:val="32"/>
          <w:szCs w:val="32"/>
        </w:rPr>
        <w:t>日専決処分）</w:t>
      </w:r>
    </w:p>
    <w:p w:rsidR="003E6D0B" w:rsidRPr="00CD474D" w:rsidRDefault="003E6D0B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021435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02143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5871712" cy="6667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FFCD7F" id="角丸四角形 2" o:spid="_x0000_s1026" style="position:absolute;left:0;text-align:left;margin-left:10.2pt;margin-top:5.2pt;width:462.3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FB73A1" w:rsidRPr="00213BFE" w:rsidRDefault="00F04708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213BFE">
        <w:rPr>
          <w:rFonts w:ascii="ＭＳ Ｐ明朝" w:eastAsia="ＭＳ Ｐ明朝" w:hAnsi="ＭＳ Ｐ明朝" w:hint="eastAsia"/>
          <w:sz w:val="22"/>
        </w:rPr>
        <w:t>一般会計補正予算（第</w:t>
      </w:r>
      <w:r w:rsidR="003E6D0B" w:rsidRPr="00213BFE">
        <w:rPr>
          <w:rFonts w:ascii="ＭＳ Ｐ明朝" w:eastAsia="ＭＳ Ｐ明朝" w:hAnsi="ＭＳ Ｐ明朝" w:hint="eastAsia"/>
          <w:sz w:val="22"/>
        </w:rPr>
        <w:t>１４</w:t>
      </w:r>
      <w:r w:rsidR="00E23449">
        <w:rPr>
          <w:rFonts w:ascii="ＭＳ Ｐ明朝" w:eastAsia="ＭＳ Ｐ明朝" w:hAnsi="ＭＳ Ｐ明朝" w:hint="eastAsia"/>
          <w:sz w:val="22"/>
        </w:rPr>
        <w:t>号）</w:t>
      </w:r>
      <w:r w:rsidR="007E7055" w:rsidRPr="00213BFE">
        <w:rPr>
          <w:rFonts w:ascii="ＭＳ Ｐ明朝" w:eastAsia="ＭＳ Ｐ明朝" w:hAnsi="ＭＳ Ｐ明朝" w:hint="eastAsia"/>
          <w:sz w:val="22"/>
        </w:rPr>
        <w:t>は、新型コロナウイルス感染症の拡大防止に向けた事業者</w:t>
      </w:r>
      <w:r w:rsidR="007F561D" w:rsidRPr="00213BFE">
        <w:rPr>
          <w:rFonts w:ascii="ＭＳ Ｐ明朝" w:eastAsia="ＭＳ Ｐ明朝" w:hAnsi="ＭＳ Ｐ明朝" w:hint="eastAsia"/>
          <w:sz w:val="22"/>
        </w:rPr>
        <w:t>へ</w:t>
      </w:r>
      <w:r w:rsidR="007E7055" w:rsidRPr="00213BFE">
        <w:rPr>
          <w:rFonts w:ascii="ＭＳ Ｐ明朝" w:eastAsia="ＭＳ Ｐ明朝" w:hAnsi="ＭＳ Ｐ明朝" w:hint="eastAsia"/>
          <w:sz w:val="22"/>
        </w:rPr>
        <w:t>の支援に</w:t>
      </w:r>
      <w:r w:rsidR="00BA097E" w:rsidRPr="00213BFE">
        <w:rPr>
          <w:rFonts w:ascii="ＭＳ Ｐ明朝" w:eastAsia="ＭＳ Ｐ明朝" w:hAnsi="ＭＳ Ｐ明朝" w:hint="eastAsia"/>
          <w:sz w:val="22"/>
        </w:rPr>
        <w:t>緊急に</w:t>
      </w:r>
      <w:r w:rsidR="007E7055" w:rsidRPr="00213BFE">
        <w:rPr>
          <w:rFonts w:ascii="ＭＳ Ｐ明朝" w:eastAsia="ＭＳ Ｐ明朝" w:hAnsi="ＭＳ Ｐ明朝" w:hint="eastAsia"/>
          <w:sz w:val="22"/>
        </w:rPr>
        <w:t>必要な経費を追加するため、編成しました</w:t>
      </w:r>
      <w:r w:rsidR="006877E7" w:rsidRPr="00213BFE">
        <w:rPr>
          <w:rFonts w:ascii="ＭＳ Ｐ明朝" w:eastAsia="ＭＳ Ｐ明朝" w:hAnsi="ＭＳ Ｐ明朝" w:hint="eastAsia"/>
          <w:sz w:val="22"/>
        </w:rPr>
        <w:t>。</w:t>
      </w:r>
    </w:p>
    <w:p w:rsidR="00474DC8" w:rsidRPr="00213BFE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213BFE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213BFE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213BF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213BF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213BF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213BF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213BF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213BFE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 w:rsidRPr="00213BFE"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7"/>
        <w:gridCol w:w="2272"/>
        <w:gridCol w:w="2268"/>
        <w:gridCol w:w="2273"/>
      </w:tblGrid>
      <w:tr w:rsidR="00021435" w:rsidRPr="00213BFE" w:rsidTr="00D8250B">
        <w:tc>
          <w:tcPr>
            <w:tcW w:w="2197" w:type="dxa"/>
            <w:vAlign w:val="center"/>
          </w:tcPr>
          <w:p w:rsidR="003771A4" w:rsidRPr="00213BF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213BF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213BF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213BF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7E7055" w:rsidRPr="00213BFE" w:rsidTr="00497D41">
        <w:tc>
          <w:tcPr>
            <w:tcW w:w="2197" w:type="dxa"/>
            <w:vAlign w:val="center"/>
          </w:tcPr>
          <w:p w:rsidR="003771A4" w:rsidRPr="00213BF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213BFE" w:rsidRDefault="003E6D0B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/>
                <w:sz w:val="24"/>
                <w:szCs w:val="24"/>
              </w:rPr>
              <w:t>3,945,833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213BFE" w:rsidRDefault="00CD474D" w:rsidP="00A8518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25,272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213BFE" w:rsidRDefault="00CD474D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3,971,105</w:t>
            </w:r>
          </w:p>
        </w:tc>
      </w:tr>
    </w:tbl>
    <w:p w:rsidR="00474DC8" w:rsidRPr="00213BFE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74DC8" w:rsidRPr="00213BFE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213BFE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213BFE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213BFE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213BFE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213BFE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213BFE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213BFE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213BFE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213BFE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213BFE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021435" w:rsidRPr="00213BFE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213BFE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213BFE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213BFE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213BFE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213BFE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</w:tr>
      <w:tr w:rsidR="00021435" w:rsidRPr="00213BFE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213BFE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213BFE" w:rsidRDefault="00CD474D" w:rsidP="002F12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22,464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213BFE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213BFE" w:rsidRDefault="00CD3B1D" w:rsidP="00D0199C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</w:t>
            </w:r>
            <w:r w:rsidR="00CE2649"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213BFE" w:rsidRDefault="00CD474D" w:rsidP="00E031EA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25,272</w:t>
            </w:r>
          </w:p>
        </w:tc>
      </w:tr>
      <w:tr w:rsidR="00021435" w:rsidRPr="00213BFE" w:rsidTr="001C4896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213BFE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213BFE" w:rsidRDefault="00171B88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213BFE" w:rsidRDefault="00171B88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213BFE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213BFE" w:rsidRDefault="00171B88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補助費等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213BFE" w:rsidRDefault="00CD474D" w:rsidP="00E031E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25,272</w:t>
            </w:r>
          </w:p>
        </w:tc>
      </w:tr>
      <w:tr w:rsidR="00021435" w:rsidRPr="00021435" w:rsidTr="001C4896">
        <w:trPr>
          <w:trHeight w:val="44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213BFE" w:rsidRDefault="0031024E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213BFE" w:rsidRDefault="00CD474D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2,808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1C3" w:rsidRPr="00021435" w:rsidTr="000B545F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021435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021435" w:rsidRDefault="003A41C3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B73A1" w:rsidRPr="00021435" w:rsidRDefault="00FB73A1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31024E" w:rsidRPr="00021435" w:rsidRDefault="0031024E" w:rsidP="0031024E">
      <w:pPr>
        <w:ind w:right="200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021435">
        <w:rPr>
          <w:rFonts w:ascii="ＭＳ Ｐゴシック" w:eastAsia="ＭＳ Ｐゴシック" w:hAnsi="ＭＳ Ｐゴシック" w:hint="eastAsia"/>
          <w:sz w:val="24"/>
          <w:szCs w:val="20"/>
        </w:rPr>
        <w:t xml:space="preserve">○ 補正後の財政調整基金残高（令和2年度末見込み）　　　　　　　　　　　 　 </w:t>
      </w:r>
      <w:r w:rsidR="00021435" w:rsidRPr="00C25993">
        <w:rPr>
          <w:rFonts w:ascii="ＭＳ Ｐゴシック" w:eastAsia="ＭＳ Ｐゴシック" w:hAnsi="ＭＳ Ｐゴシック" w:hint="eastAsia"/>
          <w:sz w:val="24"/>
          <w:szCs w:val="20"/>
        </w:rPr>
        <w:t>2</w:t>
      </w:r>
      <w:r w:rsidR="00BD284D" w:rsidRPr="00C25993">
        <w:rPr>
          <w:rFonts w:ascii="ＭＳ Ｐゴシック" w:eastAsia="ＭＳ Ｐゴシック" w:hAnsi="ＭＳ Ｐゴシック"/>
          <w:sz w:val="24"/>
          <w:szCs w:val="20"/>
        </w:rPr>
        <w:t>34</w:t>
      </w:r>
      <w:r w:rsidRPr="00C25993">
        <w:rPr>
          <w:rFonts w:ascii="ＭＳ Ｐゴシック" w:eastAsia="ＭＳ Ｐゴシック" w:hAnsi="ＭＳ Ｐゴシック" w:hint="eastAsia"/>
          <w:sz w:val="24"/>
          <w:szCs w:val="20"/>
        </w:rPr>
        <w:t>億円</w:t>
      </w:r>
    </w:p>
    <w:p w:rsidR="00E031EA" w:rsidRPr="00BD284D" w:rsidRDefault="00E031EA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31024E" w:rsidRPr="00021435" w:rsidRDefault="0031024E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1C4896" w:rsidRPr="00021435" w:rsidRDefault="001C4896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021435" w:rsidRDefault="003200FD" w:rsidP="003200FD">
      <w:pPr>
        <w:snapToGrid w:val="0"/>
        <w:rPr>
          <w:rFonts w:ascii="ＭＳ ゴシック" w:eastAsia="ＭＳ ゴシック" w:hAnsi="ＭＳ ゴシック"/>
          <w:b/>
          <w:sz w:val="28"/>
          <w:szCs w:val="26"/>
        </w:rPr>
      </w:pPr>
      <w:r w:rsidRPr="00021435">
        <w:rPr>
          <w:rFonts w:ascii="ＭＳ Ｐゴシック" w:eastAsia="ＭＳ Ｐゴシック" w:hAnsi="ＭＳ Ｐゴシック" w:hint="eastAsia"/>
          <w:b/>
          <w:sz w:val="28"/>
          <w:szCs w:val="28"/>
        </w:rPr>
        <w:t>【３】 補正項目</w:t>
      </w:r>
    </w:p>
    <w:p w:rsidR="00A85181" w:rsidRPr="00021435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kern w:val="24"/>
          <w:sz w:val="20"/>
          <w:szCs w:val="21"/>
        </w:rPr>
      </w:pPr>
      <w:r w:rsidRPr="00021435">
        <w:rPr>
          <w:rFonts w:cs="Meiryo UI" w:hint="eastAsia"/>
          <w:bCs/>
          <w:kern w:val="24"/>
          <w:sz w:val="20"/>
          <w:szCs w:val="21"/>
        </w:rPr>
        <w:t xml:space="preserve">　  </w:t>
      </w:r>
      <w:r w:rsidR="00A85181" w:rsidRPr="00021435">
        <w:rPr>
          <w:rFonts w:cs="Meiryo UI" w:hint="eastAsia"/>
          <w:bCs/>
          <w:kern w:val="24"/>
          <w:sz w:val="20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021435" w:rsidRPr="00213BFE" w:rsidTr="00474DC8">
        <w:tc>
          <w:tcPr>
            <w:tcW w:w="458" w:type="dxa"/>
            <w:shd w:val="clear" w:color="auto" w:fill="auto"/>
            <w:hideMark/>
          </w:tcPr>
          <w:p w:rsidR="00492B82" w:rsidRPr="00213BFE" w:rsidRDefault="00492B82" w:rsidP="000B545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213BFE" w:rsidRDefault="00CD3B1D" w:rsidP="00457B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3B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飲食店等への支援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92B82" w:rsidRPr="00213BFE" w:rsidRDefault="00CD474D" w:rsidP="000B545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3BFE">
              <w:rPr>
                <w:rFonts w:ascii="ＭＳ Ｐ明朝" w:eastAsia="ＭＳ Ｐ明朝" w:hAnsi="ＭＳ Ｐ明朝" w:hint="eastAsia"/>
                <w:sz w:val="24"/>
                <w:szCs w:val="24"/>
              </w:rPr>
              <w:t>25,272,000</w:t>
            </w:r>
          </w:p>
        </w:tc>
      </w:tr>
      <w:tr w:rsidR="00021435" w:rsidRPr="00213BFE" w:rsidTr="00474DC8">
        <w:tc>
          <w:tcPr>
            <w:tcW w:w="9498" w:type="dxa"/>
            <w:gridSpan w:val="5"/>
            <w:shd w:val="clear" w:color="auto" w:fill="auto"/>
            <w:hideMark/>
          </w:tcPr>
          <w:p w:rsidR="00492B82" w:rsidRPr="00213BFE" w:rsidRDefault="00A3299B" w:rsidP="000B545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13BFE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CD3B1D" w:rsidRPr="00213BFE">
              <w:rPr>
                <w:rFonts w:asciiTheme="minorEastAsia" w:hAnsiTheme="minorEastAsia" w:hint="eastAsia"/>
                <w:sz w:val="22"/>
                <w:szCs w:val="24"/>
              </w:rPr>
              <w:t>商工労働</w:t>
            </w:r>
            <w:r w:rsidR="001C4896" w:rsidRPr="00213BFE">
              <w:rPr>
                <w:rFonts w:asciiTheme="minorEastAsia" w:hAnsiTheme="minorEastAsia" w:hint="eastAsia"/>
                <w:sz w:val="22"/>
                <w:szCs w:val="24"/>
              </w:rPr>
              <w:t>部</w:t>
            </w:r>
            <w:r w:rsidR="00492B82" w:rsidRPr="00213BFE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  <w:r w:rsidR="00492B82" w:rsidRPr="00213BF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1F192A" w:rsidRPr="00021435" w:rsidTr="00474DC8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213BFE" w:rsidRDefault="00492B82" w:rsidP="000B545F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8B2AE2" w:rsidRPr="00213BFE" w:rsidRDefault="00CD3B1D" w:rsidP="007F561D">
            <w:pPr>
              <w:spacing w:line="300" w:lineRule="exact"/>
              <w:ind w:right="-28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13BFE">
              <w:rPr>
                <w:rFonts w:ascii="ＭＳ Ｐ明朝" w:eastAsia="ＭＳ Ｐ明朝" w:hAnsi="ＭＳ Ｐ明朝" w:hint="eastAsia"/>
                <w:sz w:val="22"/>
              </w:rPr>
              <w:t>感染症の拡大防止のため、</w:t>
            </w:r>
            <w:r w:rsidR="00DB548E" w:rsidRPr="00213BFE">
              <w:rPr>
                <w:rFonts w:ascii="ＭＳ Ｐ明朝" w:eastAsia="ＭＳ Ｐ明朝" w:hAnsi="ＭＳ Ｐ明朝" w:hint="eastAsia"/>
                <w:sz w:val="22"/>
              </w:rPr>
              <w:t>大阪市</w:t>
            </w:r>
            <w:r w:rsidR="008B2AE2" w:rsidRPr="00213BFE">
              <w:rPr>
                <w:rFonts w:ascii="ＭＳ Ｐ明朝" w:eastAsia="ＭＳ Ｐ明朝" w:hAnsi="ＭＳ Ｐ明朝" w:hint="eastAsia"/>
                <w:sz w:val="22"/>
              </w:rPr>
              <w:t>全域</w:t>
            </w:r>
            <w:r w:rsidRPr="00213BFE">
              <w:rPr>
                <w:rFonts w:ascii="ＭＳ Ｐ明朝" w:eastAsia="ＭＳ Ｐ明朝" w:hAnsi="ＭＳ Ｐ明朝" w:hint="eastAsia"/>
                <w:sz w:val="22"/>
              </w:rPr>
              <w:t>において営業時間短縮の要請に協力した</w:t>
            </w:r>
          </w:p>
          <w:p w:rsidR="00213BFE" w:rsidRPr="00213BFE" w:rsidRDefault="00CD3B1D" w:rsidP="008B2AE2">
            <w:pPr>
              <w:spacing w:line="300" w:lineRule="exact"/>
              <w:ind w:right="-28"/>
              <w:rPr>
                <w:rFonts w:ascii="ＭＳ Ｐ明朝" w:eastAsia="ＭＳ Ｐ明朝" w:hAnsi="ＭＳ Ｐ明朝"/>
                <w:sz w:val="22"/>
              </w:rPr>
            </w:pPr>
            <w:r w:rsidRPr="00213BFE">
              <w:rPr>
                <w:rFonts w:ascii="ＭＳ Ｐ明朝" w:eastAsia="ＭＳ Ｐ明朝" w:hAnsi="ＭＳ Ｐ明朝" w:hint="eastAsia"/>
                <w:sz w:val="22"/>
              </w:rPr>
              <w:t>事業者に対し、大阪市が支給する</w:t>
            </w:r>
            <w:r w:rsidR="00213BFE" w:rsidRPr="00213BFE">
              <w:rPr>
                <w:rFonts w:ascii="ＭＳ Ｐ明朝" w:eastAsia="ＭＳ Ｐ明朝" w:hAnsi="ＭＳ Ｐ明朝" w:hint="eastAsia"/>
                <w:sz w:val="22"/>
              </w:rPr>
              <w:t>協力金の一部</w:t>
            </w:r>
            <w:r w:rsidRPr="00213BFE">
              <w:rPr>
                <w:rFonts w:ascii="ＭＳ Ｐ明朝" w:eastAsia="ＭＳ Ｐ明朝" w:hAnsi="ＭＳ Ｐ明朝" w:hint="eastAsia"/>
                <w:sz w:val="22"/>
              </w:rPr>
              <w:t>負担</w:t>
            </w:r>
            <w:r w:rsidR="00213BFE" w:rsidRPr="00213BFE">
              <w:rPr>
                <w:rFonts w:ascii="ＭＳ Ｐ明朝" w:eastAsia="ＭＳ Ｐ明朝" w:hAnsi="ＭＳ Ｐ明朝" w:hint="eastAsia"/>
                <w:sz w:val="22"/>
              </w:rPr>
              <w:t>について、要請期間の延長に</w:t>
            </w:r>
          </w:p>
          <w:p w:rsidR="00D82B91" w:rsidRPr="00213BFE" w:rsidRDefault="00213BFE" w:rsidP="008B2AE2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  <w:r w:rsidRPr="00213BFE">
              <w:rPr>
                <w:rFonts w:ascii="ＭＳ Ｐ明朝" w:eastAsia="ＭＳ Ｐ明朝" w:hAnsi="ＭＳ Ｐ明朝" w:hint="eastAsia"/>
                <w:sz w:val="22"/>
              </w:rPr>
              <w:t>伴い増額</w:t>
            </w:r>
            <w:r w:rsidR="001C4896" w:rsidRPr="00213BFE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D82B91" w:rsidRPr="00213BFE" w:rsidRDefault="00D82B91" w:rsidP="00D82B91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2B82" w:rsidRPr="00021435" w:rsidRDefault="00492B82" w:rsidP="000B545F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FB73A1" w:rsidRPr="00021435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021435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CC" w:rsidRDefault="00BF08CC" w:rsidP="00EA271E">
      <w:r>
        <w:separator/>
      </w:r>
    </w:p>
  </w:endnote>
  <w:endnote w:type="continuationSeparator" w:id="0">
    <w:p w:rsidR="00BF08CC" w:rsidRDefault="00BF08CC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CC" w:rsidRDefault="00BF08CC" w:rsidP="00EA271E">
      <w:r>
        <w:separator/>
      </w:r>
    </w:p>
  </w:footnote>
  <w:footnote w:type="continuationSeparator" w:id="0">
    <w:p w:rsidR="00BF08CC" w:rsidRDefault="00BF08CC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1435"/>
    <w:rsid w:val="00025869"/>
    <w:rsid w:val="00053C19"/>
    <w:rsid w:val="0006242D"/>
    <w:rsid w:val="00065E32"/>
    <w:rsid w:val="000677F7"/>
    <w:rsid w:val="00067D3B"/>
    <w:rsid w:val="0008759D"/>
    <w:rsid w:val="000B1B30"/>
    <w:rsid w:val="000B545F"/>
    <w:rsid w:val="000C39F8"/>
    <w:rsid w:val="000C5D4D"/>
    <w:rsid w:val="000D12F7"/>
    <w:rsid w:val="000E2E62"/>
    <w:rsid w:val="000E7129"/>
    <w:rsid w:val="000F77B1"/>
    <w:rsid w:val="00101E8C"/>
    <w:rsid w:val="00103052"/>
    <w:rsid w:val="00115C79"/>
    <w:rsid w:val="00120B62"/>
    <w:rsid w:val="001269BB"/>
    <w:rsid w:val="001355DE"/>
    <w:rsid w:val="00141AD3"/>
    <w:rsid w:val="0015604A"/>
    <w:rsid w:val="0017027A"/>
    <w:rsid w:val="00171B88"/>
    <w:rsid w:val="00177522"/>
    <w:rsid w:val="00187D3D"/>
    <w:rsid w:val="00193AD7"/>
    <w:rsid w:val="00194FD4"/>
    <w:rsid w:val="001A61E7"/>
    <w:rsid w:val="001A7433"/>
    <w:rsid w:val="001B0778"/>
    <w:rsid w:val="001C4896"/>
    <w:rsid w:val="001C5823"/>
    <w:rsid w:val="001D6F3E"/>
    <w:rsid w:val="001E1D07"/>
    <w:rsid w:val="001F192A"/>
    <w:rsid w:val="00203341"/>
    <w:rsid w:val="00213BFE"/>
    <w:rsid w:val="00224091"/>
    <w:rsid w:val="002450FB"/>
    <w:rsid w:val="00245B7F"/>
    <w:rsid w:val="0029673F"/>
    <w:rsid w:val="002A0EC3"/>
    <w:rsid w:val="002B32D0"/>
    <w:rsid w:val="002D62E9"/>
    <w:rsid w:val="002E45D4"/>
    <w:rsid w:val="002F122D"/>
    <w:rsid w:val="003031BC"/>
    <w:rsid w:val="0031024E"/>
    <w:rsid w:val="003125B8"/>
    <w:rsid w:val="00312A66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64E3"/>
    <w:rsid w:val="00365B5B"/>
    <w:rsid w:val="003771A4"/>
    <w:rsid w:val="00391C28"/>
    <w:rsid w:val="00393B70"/>
    <w:rsid w:val="003972BB"/>
    <w:rsid w:val="003A41C3"/>
    <w:rsid w:val="003B063D"/>
    <w:rsid w:val="003B2FB9"/>
    <w:rsid w:val="003C2B34"/>
    <w:rsid w:val="003C3A43"/>
    <w:rsid w:val="003C6633"/>
    <w:rsid w:val="003C72D6"/>
    <w:rsid w:val="003D633F"/>
    <w:rsid w:val="003E6D0B"/>
    <w:rsid w:val="003F044D"/>
    <w:rsid w:val="003F1963"/>
    <w:rsid w:val="003F1F34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2C97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C7DDF"/>
    <w:rsid w:val="004F073C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52F7"/>
    <w:rsid w:val="00556671"/>
    <w:rsid w:val="00563961"/>
    <w:rsid w:val="00563C76"/>
    <w:rsid w:val="005827D2"/>
    <w:rsid w:val="00590583"/>
    <w:rsid w:val="005909CA"/>
    <w:rsid w:val="00591126"/>
    <w:rsid w:val="00595ED8"/>
    <w:rsid w:val="005A1E43"/>
    <w:rsid w:val="005A76EF"/>
    <w:rsid w:val="005B6CF1"/>
    <w:rsid w:val="005D467B"/>
    <w:rsid w:val="005D6050"/>
    <w:rsid w:val="005D6FA1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877E7"/>
    <w:rsid w:val="00694028"/>
    <w:rsid w:val="00697599"/>
    <w:rsid w:val="00697873"/>
    <w:rsid w:val="00697909"/>
    <w:rsid w:val="006A6D98"/>
    <w:rsid w:val="007224CF"/>
    <w:rsid w:val="0074146B"/>
    <w:rsid w:val="00752A7A"/>
    <w:rsid w:val="0076192A"/>
    <w:rsid w:val="00772A38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E7055"/>
    <w:rsid w:val="007F15F7"/>
    <w:rsid w:val="007F561D"/>
    <w:rsid w:val="00811DEA"/>
    <w:rsid w:val="008212FE"/>
    <w:rsid w:val="00824FEC"/>
    <w:rsid w:val="00834F02"/>
    <w:rsid w:val="00842526"/>
    <w:rsid w:val="00845B68"/>
    <w:rsid w:val="0087586F"/>
    <w:rsid w:val="0088330B"/>
    <w:rsid w:val="00895BFA"/>
    <w:rsid w:val="008A240D"/>
    <w:rsid w:val="008A4950"/>
    <w:rsid w:val="008B2AE2"/>
    <w:rsid w:val="008C1D74"/>
    <w:rsid w:val="008C79D6"/>
    <w:rsid w:val="008D0CA4"/>
    <w:rsid w:val="008D3750"/>
    <w:rsid w:val="008D4811"/>
    <w:rsid w:val="008D5866"/>
    <w:rsid w:val="008D6E8F"/>
    <w:rsid w:val="008F73A5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A0F1B"/>
    <w:rsid w:val="009A572A"/>
    <w:rsid w:val="009A6816"/>
    <w:rsid w:val="009B1439"/>
    <w:rsid w:val="009B7493"/>
    <w:rsid w:val="009D796D"/>
    <w:rsid w:val="009E5E5E"/>
    <w:rsid w:val="00A045A5"/>
    <w:rsid w:val="00A313DE"/>
    <w:rsid w:val="00A3299B"/>
    <w:rsid w:val="00A36149"/>
    <w:rsid w:val="00A4582C"/>
    <w:rsid w:val="00A524CA"/>
    <w:rsid w:val="00A53C6F"/>
    <w:rsid w:val="00A64A9A"/>
    <w:rsid w:val="00A70DBB"/>
    <w:rsid w:val="00A712AE"/>
    <w:rsid w:val="00A84A0B"/>
    <w:rsid w:val="00A85181"/>
    <w:rsid w:val="00A92506"/>
    <w:rsid w:val="00A92EFB"/>
    <w:rsid w:val="00A93313"/>
    <w:rsid w:val="00AA1E0C"/>
    <w:rsid w:val="00AB2116"/>
    <w:rsid w:val="00AB7433"/>
    <w:rsid w:val="00AC6CEE"/>
    <w:rsid w:val="00AD040E"/>
    <w:rsid w:val="00AD105B"/>
    <w:rsid w:val="00AD7566"/>
    <w:rsid w:val="00AD7CB3"/>
    <w:rsid w:val="00AE479F"/>
    <w:rsid w:val="00AE7E03"/>
    <w:rsid w:val="00AF26BC"/>
    <w:rsid w:val="00B02B5B"/>
    <w:rsid w:val="00B03AB6"/>
    <w:rsid w:val="00B14E9F"/>
    <w:rsid w:val="00B32FB0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097E"/>
    <w:rsid w:val="00BA10ED"/>
    <w:rsid w:val="00BB5FF2"/>
    <w:rsid w:val="00BD284D"/>
    <w:rsid w:val="00BF08CC"/>
    <w:rsid w:val="00C25993"/>
    <w:rsid w:val="00C26641"/>
    <w:rsid w:val="00C3609C"/>
    <w:rsid w:val="00C4065B"/>
    <w:rsid w:val="00C90999"/>
    <w:rsid w:val="00C934EA"/>
    <w:rsid w:val="00CA441D"/>
    <w:rsid w:val="00CD3B1D"/>
    <w:rsid w:val="00CD474D"/>
    <w:rsid w:val="00CD52E0"/>
    <w:rsid w:val="00CE0EF5"/>
    <w:rsid w:val="00CE2649"/>
    <w:rsid w:val="00CE7DBA"/>
    <w:rsid w:val="00CF4C56"/>
    <w:rsid w:val="00D0199C"/>
    <w:rsid w:val="00D01F01"/>
    <w:rsid w:val="00D11C39"/>
    <w:rsid w:val="00D13601"/>
    <w:rsid w:val="00D15202"/>
    <w:rsid w:val="00D20E31"/>
    <w:rsid w:val="00D24A0D"/>
    <w:rsid w:val="00D24CC2"/>
    <w:rsid w:val="00D35C6F"/>
    <w:rsid w:val="00D43274"/>
    <w:rsid w:val="00D479E8"/>
    <w:rsid w:val="00D549B5"/>
    <w:rsid w:val="00D8250B"/>
    <w:rsid w:val="00D82B91"/>
    <w:rsid w:val="00DA0AB6"/>
    <w:rsid w:val="00DA53F1"/>
    <w:rsid w:val="00DB548E"/>
    <w:rsid w:val="00DC668D"/>
    <w:rsid w:val="00DD0873"/>
    <w:rsid w:val="00DE04DC"/>
    <w:rsid w:val="00DE1215"/>
    <w:rsid w:val="00DF3130"/>
    <w:rsid w:val="00DF3F1B"/>
    <w:rsid w:val="00DF5055"/>
    <w:rsid w:val="00DF6BE5"/>
    <w:rsid w:val="00E031EA"/>
    <w:rsid w:val="00E03608"/>
    <w:rsid w:val="00E03992"/>
    <w:rsid w:val="00E04C66"/>
    <w:rsid w:val="00E23449"/>
    <w:rsid w:val="00E27645"/>
    <w:rsid w:val="00E322B7"/>
    <w:rsid w:val="00E3360A"/>
    <w:rsid w:val="00E418FF"/>
    <w:rsid w:val="00E67712"/>
    <w:rsid w:val="00E72E10"/>
    <w:rsid w:val="00E8402A"/>
    <w:rsid w:val="00E902B3"/>
    <w:rsid w:val="00E96975"/>
    <w:rsid w:val="00E97FA9"/>
    <w:rsid w:val="00EA271E"/>
    <w:rsid w:val="00EF4410"/>
    <w:rsid w:val="00F04708"/>
    <w:rsid w:val="00F05D22"/>
    <w:rsid w:val="00F06100"/>
    <w:rsid w:val="00F146C2"/>
    <w:rsid w:val="00F33C92"/>
    <w:rsid w:val="00F354D7"/>
    <w:rsid w:val="00F441CF"/>
    <w:rsid w:val="00F4603A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7B52-4EE0-40CD-9CBD-8DB62E3C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桐山　浩一</cp:lastModifiedBy>
  <cp:revision>17</cp:revision>
  <cp:lastPrinted>2021-01-05T01:13:00Z</cp:lastPrinted>
  <dcterms:created xsi:type="dcterms:W3CDTF">2020-12-14T13:15:00Z</dcterms:created>
  <dcterms:modified xsi:type="dcterms:W3CDTF">2021-01-06T02:22:00Z</dcterms:modified>
</cp:coreProperties>
</file>