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ED78" w14:textId="65536C86" w:rsidR="00D26886" w:rsidRDefault="00B63BDD" w:rsidP="00D26886">
      <w:pPr>
        <w:snapToGrid w:val="0"/>
        <w:jc w:val="right"/>
        <w:rPr>
          <w:sz w:val="24"/>
          <w:szCs w:val="24"/>
        </w:rPr>
      </w:pPr>
      <w:r w:rsidRPr="0022333E">
        <w:rPr>
          <w:rFonts w:ascii="BIZ UDPゴシック" w:eastAsia="BIZ UDPゴシック" w:hAnsi="BIZ UDP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69153" wp14:editId="4CF96BA8">
                <wp:simplePos x="0" y="0"/>
                <wp:positionH relativeFrom="column">
                  <wp:posOffset>4834890</wp:posOffset>
                </wp:positionH>
                <wp:positionV relativeFrom="paragraph">
                  <wp:posOffset>-688975</wp:posOffset>
                </wp:positionV>
                <wp:extent cx="876300" cy="438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9886C" w14:textId="2BAB41E9" w:rsidR="00B63BDD" w:rsidRPr="00B63BDD" w:rsidRDefault="00B63BDD" w:rsidP="00B63BDD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bookmarkStart w:id="0" w:name="_GoBack"/>
                            <w:r w:rsidRPr="00B63BDD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資料</w:t>
                            </w:r>
                            <w:r w:rsidRPr="00B63BDD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36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9153" id="正方形/長方形 3" o:spid="_x0000_s1026" style="position:absolute;left:0;text-align:left;margin-left:380.7pt;margin-top:-54.25pt;width:6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" fillcolor="white [3201]" strokecolor="black [3213]" strokeweight="1pt">
                <v:textbox inset=",0,1mm,3mm">
                  <w:txbxContent>
                    <w:p w14:paraId="31B9886C" w14:textId="2BAB41E9" w:rsidR="00B63BDD" w:rsidRPr="00B63BDD" w:rsidRDefault="00B63BDD" w:rsidP="00B63BDD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bookmarkStart w:id="1" w:name="_GoBack"/>
                      <w:r w:rsidRPr="00B63BDD">
                        <w:rPr>
                          <w:rFonts w:hint="eastAsia"/>
                          <w:sz w:val="24"/>
                          <w:szCs w:val="44"/>
                        </w:rPr>
                        <w:t>資料</w:t>
                      </w:r>
                      <w:r w:rsidRPr="00B63BDD">
                        <w:rPr>
                          <w:rFonts w:hint="eastAsia"/>
                          <w:sz w:val="24"/>
                          <w:szCs w:val="44"/>
                        </w:rPr>
                        <w:t>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26886">
        <w:rPr>
          <w:rFonts w:hint="eastAsia"/>
          <w:sz w:val="24"/>
          <w:szCs w:val="24"/>
        </w:rPr>
        <w:t>令和4年3月30日</w:t>
      </w:r>
    </w:p>
    <w:p w14:paraId="6E0278FA" w14:textId="39AB3903" w:rsidR="00A2665C" w:rsidRPr="00EA3BEC" w:rsidRDefault="004E2596" w:rsidP="00EA3BEC">
      <w:pPr>
        <w:snapToGrid w:val="0"/>
        <w:jc w:val="center"/>
        <w:rPr>
          <w:sz w:val="24"/>
          <w:szCs w:val="24"/>
        </w:rPr>
      </w:pPr>
      <w:r w:rsidRPr="00EA3BEC">
        <w:rPr>
          <w:rFonts w:hint="eastAsia"/>
          <w:sz w:val="24"/>
          <w:szCs w:val="24"/>
        </w:rPr>
        <w:t>FATFと非営利組織について</w:t>
      </w:r>
    </w:p>
    <w:p w14:paraId="3314C252" w14:textId="5CF8D009" w:rsidR="004E2596" w:rsidRDefault="004E2596" w:rsidP="00EA3BEC">
      <w:pPr>
        <w:snapToGrid w:val="0"/>
        <w:jc w:val="right"/>
        <w:rPr>
          <w:sz w:val="24"/>
          <w:szCs w:val="24"/>
        </w:rPr>
      </w:pPr>
      <w:r w:rsidRPr="00EA3BEC">
        <w:rPr>
          <w:rFonts w:hint="eastAsia"/>
          <w:sz w:val="24"/>
          <w:szCs w:val="24"/>
        </w:rPr>
        <w:t>議長　出口正之</w:t>
      </w:r>
    </w:p>
    <w:p w14:paraId="5051C9A0" w14:textId="77777777" w:rsidR="00EA3BEC" w:rsidRPr="00EA3BEC" w:rsidRDefault="00EA3BEC" w:rsidP="00EA3BEC">
      <w:pPr>
        <w:snapToGrid w:val="0"/>
        <w:jc w:val="right"/>
        <w:rPr>
          <w:sz w:val="24"/>
          <w:szCs w:val="24"/>
        </w:rPr>
      </w:pPr>
    </w:p>
    <w:p w14:paraId="43A4B270" w14:textId="7A397589" w:rsidR="00B61311" w:rsidRPr="00EA3BEC" w:rsidRDefault="00EA3BEC" w:rsidP="00EA3BEC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FATFとは「</w:t>
      </w:r>
      <w:r w:rsidRPr="00EA3BEC">
        <w:rPr>
          <w:rFonts w:hint="eastAsia"/>
          <w:sz w:val="24"/>
          <w:szCs w:val="24"/>
        </w:rPr>
        <w:t>マネーロンダリングに関する金融活動作業部会</w:t>
      </w:r>
      <w:r>
        <w:rPr>
          <w:rFonts w:hint="eastAsia"/>
          <w:sz w:val="24"/>
          <w:szCs w:val="24"/>
        </w:rPr>
        <w:t>」と呼ばれる政府間機関。近年ではテロ資金供与</w:t>
      </w:r>
      <w:r w:rsidR="00E92418">
        <w:rPr>
          <w:rFonts w:hint="eastAsia"/>
          <w:sz w:val="24"/>
          <w:szCs w:val="24"/>
        </w:rPr>
        <w:t>対策</w:t>
      </w:r>
      <w:r>
        <w:rPr>
          <w:rFonts w:hint="eastAsia"/>
          <w:sz w:val="24"/>
          <w:szCs w:val="24"/>
        </w:rPr>
        <w:t>の問題について大きな影響力を各国に与えている。</w:t>
      </w:r>
    </w:p>
    <w:p w14:paraId="5E963299" w14:textId="65A4E377" w:rsidR="00B61311" w:rsidRDefault="00EA3BEC" w:rsidP="00EA3BE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令和3年８月３０日にFATFの</w:t>
      </w:r>
      <w:r w:rsidRPr="00EA3BEC">
        <w:rPr>
          <w:rFonts w:hint="eastAsia"/>
          <w:sz w:val="24"/>
          <w:szCs w:val="24"/>
        </w:rPr>
        <w:t>第</w:t>
      </w:r>
      <w:r w:rsidRPr="00EA3BEC">
        <w:rPr>
          <w:sz w:val="24"/>
          <w:szCs w:val="24"/>
        </w:rPr>
        <w:t>4次対日相互審査報告書が</w:t>
      </w:r>
      <w:r w:rsidRPr="00EA3BEC">
        <w:rPr>
          <w:rFonts w:hint="eastAsia"/>
          <w:sz w:val="24"/>
          <w:szCs w:val="24"/>
        </w:rPr>
        <w:t>公</w:t>
      </w:r>
      <w:r w:rsidRPr="00EA3BEC">
        <w:rPr>
          <w:sz w:val="24"/>
          <w:szCs w:val="24"/>
        </w:rPr>
        <w:t>表</w:t>
      </w:r>
      <w:r w:rsidR="00E92418">
        <w:rPr>
          <w:rFonts w:hint="eastAsia"/>
          <w:sz w:val="24"/>
          <w:szCs w:val="24"/>
        </w:rPr>
        <w:t>された</w:t>
      </w:r>
      <w:r w:rsidRPr="00EA3BEC">
        <w:rPr>
          <w:rFonts w:hint="eastAsia"/>
          <w:sz w:val="24"/>
          <w:szCs w:val="24"/>
        </w:rPr>
        <w:t>。</w:t>
      </w:r>
    </w:p>
    <w:p w14:paraId="01B74026" w14:textId="217EE7A6" w:rsidR="00E92418" w:rsidRDefault="00E92418" w:rsidP="00EA3BE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その中に「</w:t>
      </w:r>
      <w:r w:rsidRPr="00E92418">
        <w:rPr>
          <w:sz w:val="24"/>
          <w:szCs w:val="24"/>
        </w:rPr>
        <w:t>日本は、リスクのある非営利団体（以下、NPO 等）についての理解が十分ではなく、そのため、NPO 等の テロ資金供与対策のための予防的措置を強化するために、</w:t>
      </w:r>
      <w:r w:rsidRPr="00E92418">
        <w:rPr>
          <w:rFonts w:hint="eastAsia"/>
          <w:sz w:val="24"/>
          <w:szCs w:val="24"/>
        </w:rPr>
        <w:t>当局がターゲットを絞ったアウトリーチを行うことができ</w:t>
      </w:r>
      <w:r w:rsidRPr="00E92418">
        <w:rPr>
          <w:sz w:val="24"/>
          <w:szCs w:val="24"/>
        </w:rPr>
        <w:t>ない。このため、日本の NPO 等は、知らず知らずのうちに、テロ資金供与の活動に巻き込まれる危険性がある</w:t>
      </w:r>
      <w:r>
        <w:rPr>
          <w:rFonts w:hint="eastAsia"/>
          <w:sz w:val="24"/>
          <w:szCs w:val="24"/>
        </w:rPr>
        <w:t>」（財務省仮訳）という記載がある。</w:t>
      </w:r>
    </w:p>
    <w:p w14:paraId="235C40C2" w14:textId="252D26EC" w:rsidR="00E92418" w:rsidRDefault="00E92418" w:rsidP="00EA3BEC">
      <w:pPr>
        <w:snapToGrid w:val="0"/>
        <w:ind w:firstLineChars="100" w:firstLine="240"/>
        <w:rPr>
          <w:sz w:val="24"/>
          <w:szCs w:val="24"/>
        </w:rPr>
      </w:pPr>
    </w:p>
    <w:p w14:paraId="503AFA69" w14:textId="1D9FE43C" w:rsidR="00E92418" w:rsidRDefault="00E92418" w:rsidP="00EA3BE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本来ならば、この点に関して国が率先して国内の非営利法人等への</w:t>
      </w:r>
      <w:r w:rsidR="00B327DE">
        <w:rPr>
          <w:rFonts w:hint="eastAsia"/>
          <w:sz w:val="24"/>
          <w:szCs w:val="24"/>
        </w:rPr>
        <w:t>アウトリーチ活動を行うべきであるが、法人格がバラバラなために非常にアプローチが困難である。</w:t>
      </w:r>
    </w:p>
    <w:p w14:paraId="1A03A5B8" w14:textId="78630BC0" w:rsidR="00B327DE" w:rsidRPr="00EA3BEC" w:rsidRDefault="00B327DE" w:rsidP="00EA3BEC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この問題について重要な関心を寄せ続けることが「副首都」という大きな枠内で</w:t>
      </w:r>
      <w:r w:rsidR="000E1DA1">
        <w:rPr>
          <w:rFonts w:hint="eastAsia"/>
          <w:sz w:val="24"/>
          <w:szCs w:val="24"/>
        </w:rPr>
        <w:t>非営利法人の法人格の枠を超えた議論をしている「民都・大阪」フィランソロピー会議での</w:t>
      </w:r>
      <w:r>
        <w:rPr>
          <w:rFonts w:hint="eastAsia"/>
          <w:sz w:val="24"/>
          <w:szCs w:val="24"/>
        </w:rPr>
        <w:t>責務と考えている。</w:t>
      </w:r>
    </w:p>
    <w:sectPr w:rsidR="00B327DE" w:rsidRPr="00EA3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96"/>
    <w:rsid w:val="000E1DA1"/>
    <w:rsid w:val="004E2596"/>
    <w:rsid w:val="00A2665C"/>
    <w:rsid w:val="00B327DE"/>
    <w:rsid w:val="00B61311"/>
    <w:rsid w:val="00B63BDD"/>
    <w:rsid w:val="00D26886"/>
    <w:rsid w:val="00E92418"/>
    <w:rsid w:val="00E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0C10A"/>
  <w15:chartTrackingRefBased/>
  <w15:docId w15:val="{B3D0B7E0-9DE7-4245-BA62-15B184E0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8F40-61AB-4857-84DC-41FDBB3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正之</dc:creator>
  <cp:keywords/>
  <dc:description/>
  <cp:lastModifiedBy>岸良　将史</cp:lastModifiedBy>
  <cp:revision>3</cp:revision>
  <dcterms:created xsi:type="dcterms:W3CDTF">2022-03-29T14:29:00Z</dcterms:created>
  <dcterms:modified xsi:type="dcterms:W3CDTF">2022-03-30T00:29:00Z</dcterms:modified>
</cp:coreProperties>
</file>