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BE" w:rsidRDefault="00AB54B5" w:rsidP="000E68BE">
      <w:pPr>
        <w:jc w:val="right"/>
        <w:rPr>
          <w:rFonts w:asciiTheme="minorEastAsia" w:hAnsiTheme="minorEastAsia"/>
          <w:sz w:val="24"/>
          <w:szCs w:val="24"/>
        </w:rPr>
      </w:pPr>
      <w:r w:rsidRPr="00DC6E4A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B01FC" wp14:editId="1FE7FD03">
                <wp:simplePos x="0" y="0"/>
                <wp:positionH relativeFrom="margin">
                  <wp:posOffset>4905375</wp:posOffset>
                </wp:positionH>
                <wp:positionV relativeFrom="paragraph">
                  <wp:posOffset>-495300</wp:posOffset>
                </wp:positionV>
                <wp:extent cx="953135" cy="298939"/>
                <wp:effectExtent l="0" t="0" r="18415" b="254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989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B5" w:rsidRDefault="00DD54D4" w:rsidP="00AB54B5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游明朝" w:eastAsia="ＭＳ ゴシック" w:hAnsi="ＭＳ ゴシック" w:cs="Times New Roman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游明朝" w:eastAsia="ＭＳ ゴシック" w:hAnsi="ＭＳ ゴシック" w:cs="Times New Roman" w:hint="eastAsia"/>
                                <w:color w:val="000000" w:themeColor="text1"/>
                                <w:kern w:val="2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B01FC" id="Rectangle 3" o:spid="_x0000_s1026" style="position:absolute;left:0;text-align:left;margin-left:386.25pt;margin-top:-39pt;width:75.0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">
                <v:textbox inset="5.85pt,.7pt,5.85pt,.7pt">
                  <w:txbxContent>
                    <w:p w:rsidR="00AB54B5" w:rsidRDefault="00DD54D4" w:rsidP="00AB54B5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游明朝" w:eastAsia="ＭＳ ゴシック" w:hAnsi="ＭＳ ゴシック" w:cs="Times New Roman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游明朝" w:eastAsia="ＭＳ ゴシック" w:hAnsi="ＭＳ ゴシック" w:cs="Times New Roman" w:hint="eastAsia"/>
                          <w:color w:val="000000" w:themeColor="text1"/>
                          <w:kern w:val="2"/>
                        </w:rPr>
                        <w:t>参考資料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04B0">
        <w:rPr>
          <w:rFonts w:asciiTheme="minorEastAsia" w:hAnsiTheme="minorEastAsia" w:hint="eastAsia"/>
          <w:sz w:val="24"/>
          <w:szCs w:val="24"/>
        </w:rPr>
        <w:t>令和２年６</w:t>
      </w:r>
      <w:r w:rsidR="000E68BE">
        <w:rPr>
          <w:rFonts w:asciiTheme="minorEastAsia" w:hAnsiTheme="minorEastAsia" w:hint="eastAsia"/>
          <w:sz w:val="24"/>
          <w:szCs w:val="24"/>
        </w:rPr>
        <w:t>月</w:t>
      </w:r>
      <w:r w:rsidR="00F904B0">
        <w:rPr>
          <w:rFonts w:asciiTheme="minorEastAsia" w:hAnsiTheme="minorEastAsia"/>
          <w:sz w:val="24"/>
          <w:szCs w:val="24"/>
        </w:rPr>
        <w:t>11</w:t>
      </w:r>
      <w:r w:rsidR="000E68BE">
        <w:rPr>
          <w:rFonts w:asciiTheme="minorEastAsia" w:hAnsiTheme="minorEastAsia" w:hint="eastAsia"/>
          <w:sz w:val="24"/>
          <w:szCs w:val="24"/>
        </w:rPr>
        <w:t>日</w:t>
      </w:r>
    </w:p>
    <w:p w:rsidR="000E68BE" w:rsidRDefault="000E68BE" w:rsidP="000E68BE">
      <w:pPr>
        <w:jc w:val="right"/>
        <w:rPr>
          <w:rFonts w:asciiTheme="minorEastAsia" w:hAnsiTheme="minorEastAsia"/>
          <w:sz w:val="24"/>
          <w:szCs w:val="24"/>
        </w:rPr>
      </w:pPr>
      <w:r w:rsidRPr="00DB6030">
        <w:rPr>
          <w:rFonts w:asciiTheme="minorEastAsia" w:hAnsiTheme="minorEastAsia" w:hint="eastAsia"/>
          <w:spacing w:val="60"/>
          <w:kern w:val="0"/>
          <w:sz w:val="24"/>
          <w:szCs w:val="24"/>
          <w:fitText w:val="2040" w:id="-2102712575"/>
        </w:rPr>
        <w:t>副首都推進</w:t>
      </w:r>
      <w:r w:rsidRPr="00DB6030">
        <w:rPr>
          <w:rFonts w:asciiTheme="minorEastAsia" w:hAnsiTheme="minorEastAsia" w:hint="eastAsia"/>
          <w:kern w:val="0"/>
          <w:sz w:val="24"/>
          <w:szCs w:val="24"/>
          <w:fitText w:val="2040" w:id="-2102712575"/>
        </w:rPr>
        <w:t>局</w:t>
      </w:r>
    </w:p>
    <w:p w:rsidR="000E68BE" w:rsidRPr="000E68BE" w:rsidRDefault="000E68BE" w:rsidP="00DB6030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471E8" w:rsidRPr="000E68BE" w:rsidRDefault="000E68BE" w:rsidP="00DB6030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「大都市制度(</w:t>
      </w:r>
      <w:r w:rsidRPr="000E68BE">
        <w:rPr>
          <w:rFonts w:asciiTheme="minorEastAsia" w:hAnsiTheme="minorEastAsia" w:hint="eastAsia"/>
          <w:sz w:val="24"/>
          <w:szCs w:val="24"/>
        </w:rPr>
        <w:t>総合区設置及び特別区設置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0E68BE">
        <w:rPr>
          <w:rFonts w:asciiTheme="minorEastAsia" w:hAnsiTheme="minorEastAsia" w:hint="eastAsia"/>
          <w:sz w:val="24"/>
          <w:szCs w:val="24"/>
        </w:rPr>
        <w:t>の経済効果に関する調査検討業務」の調査結果に係る報告書</w:t>
      </w:r>
      <w:r w:rsidR="006E414B" w:rsidRPr="000E68BE">
        <w:rPr>
          <w:rFonts w:asciiTheme="minorEastAsia" w:hAnsiTheme="minorEastAsia" w:hint="eastAsia"/>
          <w:sz w:val="24"/>
          <w:szCs w:val="24"/>
        </w:rPr>
        <w:t>の一部訂正について</w:t>
      </w:r>
      <w:r>
        <w:rPr>
          <w:rFonts w:asciiTheme="minorEastAsia" w:hAnsiTheme="minorEastAsia" w:hint="eastAsia"/>
          <w:sz w:val="24"/>
          <w:szCs w:val="24"/>
        </w:rPr>
        <w:t>（ご報告）</w:t>
      </w:r>
    </w:p>
    <w:p w:rsidR="006E414B" w:rsidRPr="00764497" w:rsidRDefault="006E414B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1A42B3" w:rsidRPr="000E68BE" w:rsidRDefault="001A42B3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A42B3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１．概　要</w:t>
      </w:r>
    </w:p>
    <w:p w:rsidR="006E414B" w:rsidRDefault="000E68BE" w:rsidP="00DB6030">
      <w:pPr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令和元年8月26日開催の第25</w:t>
      </w:r>
      <w:r w:rsidR="00C72AD2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協議会において、会議資料１として提出した</w:t>
      </w:r>
      <w:r w:rsidR="006E414B" w:rsidRPr="000E68BE">
        <w:rPr>
          <w:rFonts w:asciiTheme="minorEastAsia" w:hAnsiTheme="minorEastAsia" w:hint="eastAsia"/>
          <w:sz w:val="24"/>
          <w:szCs w:val="24"/>
        </w:rPr>
        <w:t>「大都市制度</w:t>
      </w:r>
      <w:r>
        <w:rPr>
          <w:rFonts w:asciiTheme="minorEastAsia" w:hAnsiTheme="minorEastAsia" w:hint="eastAsia"/>
          <w:sz w:val="24"/>
          <w:szCs w:val="24"/>
        </w:rPr>
        <w:t>(</w:t>
      </w:r>
      <w:r w:rsidR="006E414B" w:rsidRPr="000E68BE">
        <w:rPr>
          <w:rFonts w:asciiTheme="minorEastAsia" w:hAnsiTheme="minorEastAsia" w:hint="eastAsia"/>
          <w:sz w:val="24"/>
          <w:szCs w:val="24"/>
        </w:rPr>
        <w:t>総合区設置及び特別区設置</w:t>
      </w:r>
      <w:r>
        <w:rPr>
          <w:rFonts w:asciiTheme="minorEastAsia" w:hAnsiTheme="minorEastAsia" w:hint="eastAsia"/>
          <w:sz w:val="24"/>
          <w:szCs w:val="24"/>
        </w:rPr>
        <w:t>)</w:t>
      </w:r>
      <w:r w:rsidR="006E414B" w:rsidRPr="000E68BE">
        <w:rPr>
          <w:rFonts w:asciiTheme="minorEastAsia" w:hAnsiTheme="minorEastAsia" w:hint="eastAsia"/>
          <w:sz w:val="24"/>
          <w:szCs w:val="24"/>
        </w:rPr>
        <w:t>の経済効果に関する調査検討業務」の調査</w:t>
      </w:r>
      <w:r w:rsidRPr="000E68BE">
        <w:rPr>
          <w:rFonts w:asciiTheme="minorEastAsia" w:hAnsiTheme="minorEastAsia" w:hint="eastAsia"/>
          <w:sz w:val="24"/>
          <w:szCs w:val="24"/>
        </w:rPr>
        <w:t>結果に係る報告書の内容の一部に誤り等があり、</w:t>
      </w:r>
      <w:r>
        <w:rPr>
          <w:rFonts w:asciiTheme="minorEastAsia" w:hAnsiTheme="minorEastAsia" w:hint="eastAsia"/>
          <w:sz w:val="24"/>
          <w:szCs w:val="24"/>
        </w:rPr>
        <w:t>令和２年</w:t>
      </w:r>
      <w:r w:rsidR="00F904B0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F904B0">
        <w:rPr>
          <w:rFonts w:asciiTheme="minorEastAsia" w:hAnsiTheme="minorEastAsia" w:hint="eastAsia"/>
          <w:sz w:val="24"/>
          <w:szCs w:val="24"/>
        </w:rPr>
        <w:t>１</w:t>
      </w:r>
      <w:r w:rsidR="00813B0F">
        <w:rPr>
          <w:rFonts w:asciiTheme="minorEastAsia" w:hAnsiTheme="minorEastAsia" w:hint="eastAsia"/>
          <w:sz w:val="24"/>
          <w:szCs w:val="24"/>
        </w:rPr>
        <w:t>日に</w:t>
      </w:r>
      <w:r w:rsidRPr="000E68BE">
        <w:rPr>
          <w:rFonts w:asciiTheme="minorEastAsia" w:hAnsiTheme="minorEastAsia" w:hint="eastAsia"/>
          <w:sz w:val="24"/>
          <w:szCs w:val="24"/>
        </w:rPr>
        <w:t>訂正を行</w:t>
      </w:r>
      <w:r w:rsidR="00F904B0">
        <w:rPr>
          <w:rFonts w:asciiTheme="minorEastAsia" w:hAnsiTheme="minorEastAsia" w:hint="eastAsia"/>
          <w:sz w:val="24"/>
          <w:szCs w:val="24"/>
        </w:rPr>
        <w:t>いました。</w:t>
      </w:r>
    </w:p>
    <w:p w:rsidR="00F904B0" w:rsidRPr="00F904B0" w:rsidRDefault="00F904B0" w:rsidP="00DB6030">
      <w:pPr>
        <w:spacing w:line="5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※報告書については、令和２年２月19日にも一部訂正を実施。</w:t>
      </w:r>
    </w:p>
    <w:p w:rsidR="006E414B" w:rsidRPr="001A42B3" w:rsidRDefault="006E414B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1A42B3" w:rsidRDefault="001A42B3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A42B3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２．</w:t>
      </w:r>
      <w:r w:rsidR="000E68BE" w:rsidRPr="001A42B3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具体的な訂正内容</w:t>
      </w:r>
      <w:r>
        <w:rPr>
          <w:rFonts w:asciiTheme="minorEastAsia" w:hAnsiTheme="minorEastAsia" w:hint="eastAsia"/>
          <w:sz w:val="24"/>
          <w:szCs w:val="24"/>
        </w:rPr>
        <w:t>（別紙【訂正一覧表】のとおり）</w:t>
      </w:r>
    </w:p>
    <w:p w:rsidR="001D77ED" w:rsidRPr="00DA014F" w:rsidRDefault="001D77ED" w:rsidP="001D77ED">
      <w:pPr>
        <w:spacing w:line="5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❶「</w:t>
      </w:r>
      <w:r w:rsidR="006454D5">
        <w:rPr>
          <w:rFonts w:asciiTheme="minorEastAsia" w:hAnsiTheme="minorEastAsia" w:hint="eastAsia"/>
          <w:sz w:val="24"/>
          <w:szCs w:val="24"/>
        </w:rPr>
        <w:t>マクロ計量経済モデルによる経</w:t>
      </w:r>
      <w:r w:rsidR="006454D5" w:rsidRPr="00DA014F">
        <w:rPr>
          <w:rFonts w:asciiTheme="minorEastAsia" w:hAnsiTheme="minorEastAsia" w:hint="eastAsia"/>
          <w:sz w:val="24"/>
          <w:szCs w:val="24"/>
        </w:rPr>
        <w:t>済効果</w:t>
      </w:r>
      <w:r w:rsidRPr="00DA014F">
        <w:rPr>
          <w:rFonts w:asciiTheme="minorEastAsia" w:hAnsiTheme="minorEastAsia" w:hint="eastAsia"/>
          <w:sz w:val="24"/>
          <w:szCs w:val="24"/>
        </w:rPr>
        <w:t>」</w:t>
      </w:r>
      <w:r w:rsidR="006454D5" w:rsidRPr="00DA014F">
        <w:rPr>
          <w:rFonts w:asciiTheme="minorEastAsia" w:hAnsiTheme="minorEastAsia" w:hint="eastAsia"/>
          <w:sz w:val="24"/>
          <w:szCs w:val="24"/>
        </w:rPr>
        <w:t>の</w:t>
      </w:r>
      <w:r w:rsidR="00CB28AB" w:rsidRPr="00DA014F">
        <w:rPr>
          <w:rFonts w:asciiTheme="minorEastAsia" w:hAnsiTheme="minorEastAsia" w:hint="eastAsia"/>
          <w:sz w:val="24"/>
          <w:szCs w:val="24"/>
        </w:rPr>
        <w:t>算出</w:t>
      </w:r>
      <w:r w:rsidR="006454D5" w:rsidRPr="00DA014F">
        <w:rPr>
          <w:rFonts w:asciiTheme="minorEastAsia" w:hAnsiTheme="minorEastAsia" w:hint="eastAsia"/>
          <w:sz w:val="24"/>
          <w:szCs w:val="24"/>
        </w:rPr>
        <w:t>に用いる</w:t>
      </w:r>
      <w:r w:rsidRPr="00DA014F">
        <w:rPr>
          <w:rFonts w:asciiTheme="minorEastAsia" w:hAnsiTheme="minorEastAsia" w:hint="eastAsia"/>
          <w:sz w:val="24"/>
          <w:szCs w:val="24"/>
        </w:rPr>
        <w:t>大阪府の資本ストックデータの</w:t>
      </w:r>
      <w:r w:rsidR="00FE2871" w:rsidRPr="00DA014F">
        <w:rPr>
          <w:rFonts w:asciiTheme="minorEastAsia" w:hAnsiTheme="minorEastAsia" w:hint="eastAsia"/>
          <w:sz w:val="24"/>
          <w:szCs w:val="24"/>
        </w:rPr>
        <w:t>前</w:t>
      </w:r>
      <w:r w:rsidR="00CB28AB" w:rsidRPr="00DA014F">
        <w:rPr>
          <w:rFonts w:asciiTheme="minorEastAsia" w:hAnsiTheme="minorEastAsia" w:hint="eastAsia"/>
          <w:sz w:val="24"/>
          <w:szCs w:val="24"/>
        </w:rPr>
        <w:t>処理にお</w:t>
      </w:r>
      <w:r w:rsidR="0016163A" w:rsidRPr="00DA014F">
        <w:rPr>
          <w:rFonts w:asciiTheme="minorEastAsia" w:hAnsiTheme="minorEastAsia" w:hint="eastAsia"/>
          <w:sz w:val="24"/>
          <w:szCs w:val="24"/>
        </w:rPr>
        <w:t>いて一部</w:t>
      </w:r>
      <w:r w:rsidRPr="00DA014F">
        <w:rPr>
          <w:rFonts w:asciiTheme="minorEastAsia" w:hAnsiTheme="minorEastAsia" w:hint="eastAsia"/>
          <w:sz w:val="24"/>
          <w:szCs w:val="24"/>
        </w:rPr>
        <w:t>誤り</w:t>
      </w:r>
      <w:r w:rsidR="00CB28AB" w:rsidRPr="00DA014F">
        <w:rPr>
          <w:rFonts w:asciiTheme="minorEastAsia" w:hAnsiTheme="minorEastAsia" w:hint="eastAsia"/>
          <w:sz w:val="24"/>
          <w:szCs w:val="24"/>
        </w:rPr>
        <w:t>があり、それ</w:t>
      </w:r>
      <w:r w:rsidRPr="00DA014F">
        <w:rPr>
          <w:rFonts w:asciiTheme="minorEastAsia" w:hAnsiTheme="minorEastAsia" w:hint="eastAsia"/>
          <w:sz w:val="24"/>
          <w:szCs w:val="24"/>
        </w:rPr>
        <w:t>に伴い関連図表など51件を訂正。</w:t>
      </w:r>
    </w:p>
    <w:p w:rsidR="001D77ED" w:rsidRPr="00DA014F" w:rsidRDefault="00517E5F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DA014F">
        <w:rPr>
          <w:rFonts w:asciiTheme="minorEastAsia" w:hAnsiTheme="minorEastAsia" w:hint="eastAsia"/>
          <w:sz w:val="24"/>
          <w:szCs w:val="24"/>
        </w:rPr>
        <w:t>❷用語の誤記など12</w:t>
      </w:r>
      <w:r w:rsidR="001D77ED" w:rsidRPr="00DA014F">
        <w:rPr>
          <w:rFonts w:asciiTheme="minorEastAsia" w:hAnsiTheme="minorEastAsia" w:hint="eastAsia"/>
          <w:sz w:val="24"/>
          <w:szCs w:val="24"/>
        </w:rPr>
        <w:t>件を訂正（うち</w:t>
      </w:r>
      <w:r w:rsidRPr="00DA014F">
        <w:rPr>
          <w:rFonts w:asciiTheme="minorEastAsia" w:hAnsiTheme="minorEastAsia" w:hint="eastAsia"/>
          <w:sz w:val="24"/>
          <w:szCs w:val="24"/>
        </w:rPr>
        <w:t>５</w:t>
      </w:r>
      <w:r w:rsidR="001D77ED" w:rsidRPr="00DA014F">
        <w:rPr>
          <w:rFonts w:asciiTheme="minorEastAsia" w:hAnsiTheme="minorEastAsia" w:hint="eastAsia"/>
          <w:sz w:val="24"/>
          <w:szCs w:val="24"/>
        </w:rPr>
        <w:t>件は❶と重複）。</w:t>
      </w:r>
    </w:p>
    <w:p w:rsidR="00B50D36" w:rsidRPr="003672F2" w:rsidRDefault="001D77ED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3672F2">
        <w:rPr>
          <w:rFonts w:asciiTheme="minorEastAsia" w:hAnsiTheme="minorEastAsia" w:hint="eastAsia"/>
          <w:sz w:val="24"/>
          <w:szCs w:val="24"/>
        </w:rPr>
        <w:t>❸</w:t>
      </w:r>
      <w:r w:rsidR="00B50D36" w:rsidRPr="003672F2">
        <w:rPr>
          <w:rFonts w:asciiTheme="minorEastAsia" w:hAnsiTheme="minorEastAsia" w:hint="eastAsia"/>
          <w:sz w:val="24"/>
          <w:szCs w:val="24"/>
        </w:rPr>
        <w:t>誤記ではないものの、記述の正確性</w:t>
      </w:r>
      <w:r w:rsidR="00DA014F" w:rsidRPr="003672F2">
        <w:rPr>
          <w:rFonts w:asciiTheme="minorEastAsia" w:hAnsiTheme="minorEastAsia" w:hint="eastAsia"/>
          <w:sz w:val="24"/>
          <w:szCs w:val="24"/>
        </w:rPr>
        <w:t>を期する</w:t>
      </w:r>
      <w:r w:rsidR="0006164C" w:rsidRPr="003672F2">
        <w:rPr>
          <w:rFonts w:asciiTheme="minorEastAsia" w:hAnsiTheme="minorEastAsia" w:hint="eastAsia"/>
          <w:sz w:val="24"/>
          <w:szCs w:val="24"/>
        </w:rPr>
        <w:t>観点から</w:t>
      </w:r>
      <w:r w:rsidR="00B50D36" w:rsidRPr="003672F2">
        <w:rPr>
          <w:rFonts w:asciiTheme="minorEastAsia" w:hAnsiTheme="minorEastAsia" w:hint="eastAsia"/>
          <w:sz w:val="24"/>
          <w:szCs w:val="24"/>
        </w:rPr>
        <w:t>、別途２件を修正。</w:t>
      </w:r>
    </w:p>
    <w:p w:rsidR="00B50D36" w:rsidRPr="00DA014F" w:rsidRDefault="00B50D36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764497" w:rsidRPr="00DA014F" w:rsidRDefault="001A42B3" w:rsidP="00DB6030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DA014F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３．効果額</w:t>
      </w:r>
      <w:r w:rsidR="00B50D36" w:rsidRPr="00DA014F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の訂正</w:t>
      </w:r>
      <w:r w:rsidR="00764497" w:rsidRPr="00DA014F">
        <w:rPr>
          <w:rFonts w:asciiTheme="minorEastAsia" w:hAnsiTheme="minorEastAsia" w:hint="eastAsia"/>
          <w:bCs/>
          <w:sz w:val="24"/>
          <w:szCs w:val="24"/>
          <w:bdr w:val="single" w:sz="4" w:space="0" w:color="auto"/>
          <w:shd w:val="pct15" w:color="auto" w:fill="FFFFFF"/>
        </w:rPr>
        <w:t>（マクロ計量経済モデルによる</w:t>
      </w:r>
      <w:r w:rsidR="00B50D36" w:rsidRPr="00DA014F">
        <w:rPr>
          <w:rFonts w:asciiTheme="minorEastAsia" w:hAnsiTheme="minorEastAsia" w:hint="eastAsia"/>
          <w:bCs/>
          <w:sz w:val="24"/>
          <w:szCs w:val="24"/>
          <w:bdr w:val="single" w:sz="4" w:space="0" w:color="auto"/>
          <w:shd w:val="pct15" w:color="auto" w:fill="FFFFFF"/>
        </w:rPr>
        <w:t>経済</w:t>
      </w:r>
      <w:r w:rsidR="00764497" w:rsidRPr="00DA014F">
        <w:rPr>
          <w:rFonts w:asciiTheme="minorEastAsia" w:hAnsiTheme="minorEastAsia" w:hint="eastAsia"/>
          <w:bCs/>
          <w:sz w:val="24"/>
          <w:szCs w:val="24"/>
          <w:bdr w:val="single" w:sz="4" w:space="0" w:color="auto"/>
          <w:shd w:val="pct15" w:color="auto" w:fill="FFFFFF"/>
        </w:rPr>
        <w:t>効果）</w:t>
      </w:r>
    </w:p>
    <w:tbl>
      <w:tblPr>
        <w:tblStyle w:val="a9"/>
        <w:tblpPr w:leftFromText="142" w:rightFromText="142" w:vertAnchor="text" w:tblpXSpec="center" w:tblpY="1"/>
        <w:tblOverlap w:val="never"/>
        <w:tblW w:w="824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694"/>
        <w:gridCol w:w="2725"/>
      </w:tblGrid>
      <w:tr w:rsidR="00DA014F" w:rsidRPr="00DA014F" w:rsidTr="006454D5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訂正対象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訂正前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訂正後</w:t>
            </w:r>
          </w:p>
        </w:tc>
      </w:tr>
      <w:tr w:rsidR="00DA014F" w:rsidRPr="00DA014F" w:rsidTr="006454D5">
        <w:trPr>
          <w:trHeight w:val="455"/>
          <w:jc w:val="center"/>
        </w:trPr>
        <w:tc>
          <w:tcPr>
            <w:tcW w:w="1413" w:type="dxa"/>
            <w:vMerge w:val="restart"/>
            <w:vAlign w:val="center"/>
          </w:tcPr>
          <w:p w:rsidR="00764497" w:rsidRPr="00DA014F" w:rsidRDefault="00764497" w:rsidP="00DB603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実質域内</w:t>
            </w:r>
          </w:p>
          <w:p w:rsidR="00764497" w:rsidRPr="00DA014F" w:rsidRDefault="00764497" w:rsidP="00DB603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総生産</w:t>
            </w:r>
          </w:p>
        </w:tc>
        <w:tc>
          <w:tcPr>
            <w:tcW w:w="1417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総合区</w:t>
            </w:r>
          </w:p>
        </w:tc>
        <w:tc>
          <w:tcPr>
            <w:tcW w:w="2694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505億円～778億円</w:t>
            </w:r>
          </w:p>
        </w:tc>
        <w:tc>
          <w:tcPr>
            <w:tcW w:w="2725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469億円～754億円</w:t>
            </w:r>
          </w:p>
        </w:tc>
      </w:tr>
      <w:tr w:rsidR="00DA014F" w:rsidRPr="00DA014F" w:rsidTr="006454D5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特別区</w:t>
            </w:r>
          </w:p>
        </w:tc>
        <w:tc>
          <w:tcPr>
            <w:tcW w:w="2694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5033億円～1兆506億円</w:t>
            </w:r>
          </w:p>
        </w:tc>
        <w:tc>
          <w:tcPr>
            <w:tcW w:w="2725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4680億円～1兆373億円</w:t>
            </w:r>
          </w:p>
        </w:tc>
      </w:tr>
      <w:tr w:rsidR="00DA014F" w:rsidRPr="00DA014F" w:rsidTr="006454D5">
        <w:trPr>
          <w:trHeight w:val="455"/>
          <w:jc w:val="center"/>
        </w:trPr>
        <w:tc>
          <w:tcPr>
            <w:tcW w:w="1413" w:type="dxa"/>
            <w:vMerge w:val="restart"/>
            <w:vAlign w:val="center"/>
          </w:tcPr>
          <w:p w:rsidR="00764497" w:rsidRPr="00DA014F" w:rsidRDefault="00764497" w:rsidP="00DB603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波及効果</w:t>
            </w:r>
          </w:p>
          <w:p w:rsidR="00764497" w:rsidRPr="00DA014F" w:rsidRDefault="00764497" w:rsidP="00DB6030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含む</w:t>
            </w:r>
          </w:p>
        </w:tc>
        <w:tc>
          <w:tcPr>
            <w:tcW w:w="1417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総合区</w:t>
            </w:r>
          </w:p>
        </w:tc>
        <w:tc>
          <w:tcPr>
            <w:tcW w:w="2694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553億円～853億円</w:t>
            </w:r>
          </w:p>
        </w:tc>
        <w:tc>
          <w:tcPr>
            <w:tcW w:w="2725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514億円～826億円</w:t>
            </w:r>
          </w:p>
        </w:tc>
      </w:tr>
      <w:tr w:rsidR="00DA014F" w:rsidRPr="00DA014F" w:rsidTr="006454D5">
        <w:trPr>
          <w:trHeight w:val="455"/>
          <w:jc w:val="center"/>
        </w:trPr>
        <w:tc>
          <w:tcPr>
            <w:tcW w:w="1413" w:type="dxa"/>
            <w:vMerge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014F">
              <w:rPr>
                <w:rFonts w:asciiTheme="minorEastAsia" w:hAnsiTheme="minorEastAsia" w:hint="eastAsia"/>
                <w:sz w:val="24"/>
                <w:szCs w:val="24"/>
              </w:rPr>
              <w:t>特別区</w:t>
            </w:r>
          </w:p>
        </w:tc>
        <w:tc>
          <w:tcPr>
            <w:tcW w:w="2694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5515億円～1兆1511億円</w:t>
            </w:r>
          </w:p>
        </w:tc>
        <w:tc>
          <w:tcPr>
            <w:tcW w:w="2725" w:type="dxa"/>
            <w:vAlign w:val="center"/>
          </w:tcPr>
          <w:p w:rsidR="00764497" w:rsidRPr="00DA014F" w:rsidRDefault="00764497" w:rsidP="00DB6030">
            <w:pPr>
              <w:spacing w:line="500" w:lineRule="exact"/>
              <w:jc w:val="right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DA014F">
              <w:rPr>
                <w:rFonts w:asciiTheme="minorEastAsia" w:hAnsiTheme="minorEastAsia" w:hint="eastAsia"/>
                <w:bCs/>
                <w:sz w:val="21"/>
                <w:szCs w:val="21"/>
              </w:rPr>
              <w:t>5128億円～1兆1366億円</w:t>
            </w:r>
          </w:p>
        </w:tc>
      </w:tr>
    </w:tbl>
    <w:p w:rsidR="006E414B" w:rsidRPr="00DA014F" w:rsidRDefault="006E414B" w:rsidP="001A42B3">
      <w:pPr>
        <w:spacing w:line="500" w:lineRule="exact"/>
        <w:ind w:rightChars="-68" w:right="-143"/>
        <w:rPr>
          <w:rFonts w:asciiTheme="minorEastAsia" w:hAnsiTheme="minorEastAsia"/>
          <w:sz w:val="24"/>
          <w:szCs w:val="24"/>
        </w:rPr>
      </w:pPr>
    </w:p>
    <w:sectPr w:rsidR="006E414B" w:rsidRPr="00DA014F" w:rsidSect="00FE2871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10" w:rsidRDefault="00442810" w:rsidP="00060E1D">
      <w:r>
        <w:separator/>
      </w:r>
    </w:p>
  </w:endnote>
  <w:endnote w:type="continuationSeparator" w:id="0">
    <w:p w:rsidR="00442810" w:rsidRDefault="00442810" w:rsidP="0006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10" w:rsidRDefault="00442810" w:rsidP="00060E1D">
      <w:r>
        <w:separator/>
      </w:r>
    </w:p>
  </w:footnote>
  <w:footnote w:type="continuationSeparator" w:id="0">
    <w:p w:rsidR="00442810" w:rsidRDefault="00442810" w:rsidP="00060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4B"/>
    <w:rsid w:val="000471E8"/>
    <w:rsid w:val="00060E1D"/>
    <w:rsid w:val="0006164C"/>
    <w:rsid w:val="000E68BE"/>
    <w:rsid w:val="0016163A"/>
    <w:rsid w:val="00195022"/>
    <w:rsid w:val="001A42B3"/>
    <w:rsid w:val="001D77ED"/>
    <w:rsid w:val="001E1139"/>
    <w:rsid w:val="003114CC"/>
    <w:rsid w:val="003672F2"/>
    <w:rsid w:val="00442810"/>
    <w:rsid w:val="00517E5F"/>
    <w:rsid w:val="006454D5"/>
    <w:rsid w:val="006E414B"/>
    <w:rsid w:val="00764497"/>
    <w:rsid w:val="007958CA"/>
    <w:rsid w:val="00813B0F"/>
    <w:rsid w:val="00AB54B5"/>
    <w:rsid w:val="00B50D36"/>
    <w:rsid w:val="00B55E30"/>
    <w:rsid w:val="00C20755"/>
    <w:rsid w:val="00C303A6"/>
    <w:rsid w:val="00C54498"/>
    <w:rsid w:val="00C72AD2"/>
    <w:rsid w:val="00CB28AB"/>
    <w:rsid w:val="00DA014F"/>
    <w:rsid w:val="00DB6030"/>
    <w:rsid w:val="00DD54D4"/>
    <w:rsid w:val="00E63D7B"/>
    <w:rsid w:val="00ED1A9B"/>
    <w:rsid w:val="00F62D43"/>
    <w:rsid w:val="00F904B0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089D9"/>
  <w15:docId w15:val="{3EEB9441-72B2-4F94-A59B-C5D68CEA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B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E1D"/>
  </w:style>
  <w:style w:type="paragraph" w:styleId="a7">
    <w:name w:val="footer"/>
    <w:basedOn w:val="a"/>
    <w:link w:val="a8"/>
    <w:uiPriority w:val="99"/>
    <w:unhideWhenUsed/>
    <w:rsid w:val="00060E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E1D"/>
  </w:style>
  <w:style w:type="table" w:styleId="a9">
    <w:name w:val="Table Grid"/>
    <w:basedOn w:val="a1"/>
    <w:uiPriority w:val="39"/>
    <w:rsid w:val="0076449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AB54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13A26-9A45-412B-A6DF-7A6A776B8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9BB05-8A3C-4DBB-A2C4-F22E6F48CE50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242BFEFE-5260-4228-AD45-0773A1733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2020-06-08T10:09:00Z</dcterms:created>
  <dcterms:modified xsi:type="dcterms:W3CDTF">2020-06-09T01:26:00Z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