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B9" w:rsidRDefault="000A7BB9" w:rsidP="00AC0B99">
      <w:pPr>
        <w:rPr>
          <w:rFonts w:ascii="Meiryo UI" w:eastAsia="Meiryo UI" w:hAnsi="Meiryo UI" w:cs="Meiryo UI"/>
          <w:b/>
          <w:color w:val="000000" w:themeColor="text1"/>
          <w:sz w:val="24"/>
          <w:szCs w:val="24"/>
        </w:rPr>
      </w:pPr>
      <w:bookmarkStart w:id="0" w:name="_GoBack"/>
    </w:p>
    <w:bookmarkEnd w:id="0"/>
    <w:p w:rsidR="00EF0175" w:rsidRDefault="00F676F7" w:rsidP="00F676F7">
      <w:pPr>
        <w:ind w:firstLineChars="800" w:firstLine="2560"/>
        <w:rPr>
          <w:rFonts w:ascii="Meiryo UI" w:eastAsia="Meiryo UI" w:hAnsi="Meiryo UI" w:cs="Meiryo UI"/>
          <w:color w:val="000000" w:themeColor="text1"/>
          <w:sz w:val="32"/>
          <w:szCs w:val="32"/>
        </w:rPr>
      </w:pPr>
      <w:r>
        <w:rPr>
          <w:rFonts w:ascii="Meiryo UI" w:eastAsia="Meiryo UI" w:hAnsi="Meiryo UI" w:cs="Meiryo UI" w:hint="eastAsia"/>
          <w:color w:val="000000" w:themeColor="text1"/>
          <w:sz w:val="32"/>
          <w:szCs w:val="32"/>
        </w:rPr>
        <w:t>「</w:t>
      </w:r>
      <w:r w:rsidR="00EF0175" w:rsidRPr="00F676F7">
        <w:rPr>
          <w:rFonts w:ascii="Meiryo UI" w:eastAsia="Meiryo UI" w:hAnsi="Meiryo UI" w:cs="Meiryo UI" w:hint="eastAsia"/>
          <w:color w:val="000000" w:themeColor="text1"/>
          <w:sz w:val="32"/>
          <w:szCs w:val="32"/>
        </w:rPr>
        <w:t>平成29年度地方創生推進交付金（</w:t>
      </w:r>
      <w:r w:rsidRPr="00F676F7">
        <w:rPr>
          <w:rFonts w:ascii="Meiryo UI" w:eastAsia="Meiryo UI" w:hAnsi="Meiryo UI" w:cs="Meiryo UI" w:hint="eastAsia"/>
          <w:color w:val="000000" w:themeColor="text1"/>
          <w:sz w:val="32"/>
          <w:szCs w:val="32"/>
        </w:rPr>
        <w:t>一次</w:t>
      </w:r>
      <w:r w:rsidR="00EF0175" w:rsidRPr="00F676F7">
        <w:rPr>
          <w:rFonts w:ascii="Meiryo UI" w:eastAsia="Meiryo UI" w:hAnsi="Meiryo UI" w:cs="Meiryo UI" w:hint="eastAsia"/>
          <w:color w:val="000000" w:themeColor="text1"/>
          <w:sz w:val="32"/>
          <w:szCs w:val="32"/>
        </w:rPr>
        <w:t>）</w:t>
      </w:r>
      <w:r>
        <w:rPr>
          <w:rFonts w:ascii="Meiryo UI" w:eastAsia="Meiryo UI" w:hAnsi="Meiryo UI" w:cs="Meiryo UI" w:hint="eastAsia"/>
          <w:color w:val="000000" w:themeColor="text1"/>
          <w:sz w:val="32"/>
          <w:szCs w:val="32"/>
        </w:rPr>
        <w:t>」</w:t>
      </w:r>
      <w:r w:rsidRPr="00F676F7">
        <w:rPr>
          <w:rFonts w:ascii="Meiryo UI" w:eastAsia="Meiryo UI" w:hAnsi="Meiryo UI" w:cs="Meiryo UI" w:hint="eastAsia"/>
          <w:color w:val="000000" w:themeColor="text1"/>
          <w:sz w:val="32"/>
          <w:szCs w:val="32"/>
        </w:rPr>
        <w:t>交付対象事業について</w:t>
      </w:r>
    </w:p>
    <w:p w:rsidR="001B5730" w:rsidRPr="00F676F7" w:rsidRDefault="001B5730" w:rsidP="00F676F7">
      <w:pPr>
        <w:ind w:firstLineChars="800" w:firstLine="2560"/>
        <w:rPr>
          <w:rFonts w:ascii="Meiryo UI" w:eastAsia="Meiryo UI" w:hAnsi="Meiryo UI" w:cs="Meiryo UI"/>
          <w:color w:val="000000" w:themeColor="text1"/>
          <w:sz w:val="32"/>
          <w:szCs w:val="32"/>
        </w:rPr>
      </w:pPr>
    </w:p>
    <w:p w:rsidR="00EF0175" w:rsidRPr="007F30E7" w:rsidRDefault="00EF0175" w:rsidP="00AC0B99">
      <w:pPr>
        <w:rPr>
          <w:rFonts w:ascii="Meiryo UI" w:eastAsia="Meiryo UI" w:hAnsi="Meiryo UI" w:cs="Meiryo UI"/>
          <w:b/>
          <w:color w:val="000000" w:themeColor="text1"/>
          <w:sz w:val="24"/>
          <w:szCs w:val="24"/>
        </w:rPr>
      </w:pPr>
      <w:r>
        <w:rPr>
          <w:rFonts w:ascii="Meiryo UI" w:eastAsia="Meiryo UI" w:hAnsi="Meiryo UI" w:cs="Meiryo UI" w:hint="eastAsia"/>
          <w:b/>
          <w:color w:val="000000" w:themeColor="text1"/>
          <w:sz w:val="24"/>
          <w:szCs w:val="24"/>
        </w:rPr>
        <w:t xml:space="preserve">　</w:t>
      </w:r>
      <w:r w:rsidR="00F676F7" w:rsidRPr="007F30E7">
        <w:rPr>
          <w:rFonts w:ascii="Meiryo UI" w:eastAsia="Meiryo UI" w:hAnsi="Meiryo UI" w:cs="Meiryo UI" w:hint="eastAsia"/>
          <w:b/>
          <w:color w:val="000000" w:themeColor="text1"/>
          <w:sz w:val="24"/>
          <w:szCs w:val="24"/>
        </w:rPr>
        <w:t>地方創生推進交付金(H29)</w:t>
      </w:r>
      <w:r w:rsidR="00F676F7">
        <w:rPr>
          <w:rFonts w:ascii="Meiryo UI" w:eastAsia="Meiryo UI" w:hAnsi="Meiryo UI" w:cs="Meiryo UI" w:hint="eastAsia"/>
          <w:b/>
          <w:color w:val="000000" w:themeColor="text1"/>
          <w:sz w:val="24"/>
          <w:szCs w:val="24"/>
        </w:rPr>
        <w:t>新規事業</w:t>
      </w:r>
      <w:r w:rsidR="001B5730">
        <w:rPr>
          <w:rFonts w:ascii="Meiryo UI" w:eastAsia="Meiryo UI" w:hAnsi="Meiryo UI" w:cs="Meiryo UI" w:hint="eastAsia"/>
          <w:b/>
          <w:color w:val="000000" w:themeColor="text1"/>
          <w:sz w:val="24"/>
          <w:szCs w:val="24"/>
        </w:rPr>
        <w:t xml:space="preserve">　　　　　　　　　　　　　　　　　　　　　　　　　　　　　　　　　　　　　　　　　　　　　平成29年5月31日交付決定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8363"/>
        <w:gridCol w:w="2551"/>
      </w:tblGrid>
      <w:tr w:rsidR="000A7BB9" w:rsidRPr="00AC0B99" w:rsidTr="00AC0B99">
        <w:tc>
          <w:tcPr>
            <w:tcW w:w="3726" w:type="dxa"/>
            <w:shd w:val="clear" w:color="auto" w:fill="BFBFBF" w:themeFill="background1" w:themeFillShade="BF"/>
            <w:vAlign w:val="center"/>
          </w:tcPr>
          <w:p w:rsidR="000A7BB9" w:rsidRPr="00AC0B99" w:rsidRDefault="000A7BB9" w:rsidP="00AC0B99">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8363" w:type="dxa"/>
            <w:shd w:val="clear" w:color="auto" w:fill="BFBFBF" w:themeFill="background1" w:themeFillShade="BF"/>
            <w:vAlign w:val="center"/>
          </w:tcPr>
          <w:p w:rsidR="000A7BB9" w:rsidRPr="00AC0B99" w:rsidRDefault="000A7BB9" w:rsidP="00AC0B99">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2551" w:type="dxa"/>
            <w:shd w:val="clear" w:color="auto" w:fill="BFBFBF" w:themeFill="background1" w:themeFillShade="BF"/>
            <w:vAlign w:val="center"/>
          </w:tcPr>
          <w:p w:rsidR="00A16CDA" w:rsidRPr="00E42DEE" w:rsidRDefault="00421DE0" w:rsidP="00E42DEE">
            <w:pPr>
              <w:jc w:val="center"/>
              <w:rPr>
                <w:rFonts w:ascii="Meiryo UI" w:eastAsia="Meiryo UI" w:hAnsi="Meiryo UI" w:cs="Meiryo UI"/>
                <w:w w:val="90"/>
                <w:sz w:val="24"/>
                <w:szCs w:val="24"/>
              </w:rPr>
            </w:pPr>
            <w:r>
              <w:rPr>
                <w:rFonts w:ascii="Meiryo UI" w:eastAsia="Meiryo UI" w:hAnsi="Meiryo UI" w:cs="Meiryo UI" w:hint="eastAsia"/>
                <w:w w:val="90"/>
                <w:sz w:val="24"/>
                <w:szCs w:val="24"/>
              </w:rPr>
              <w:t>採択</w:t>
            </w:r>
            <w:r w:rsidR="00464FA4" w:rsidRPr="00464FA4">
              <w:rPr>
                <w:rFonts w:ascii="Meiryo UI" w:eastAsia="Meiryo UI" w:hAnsi="Meiryo UI" w:cs="Meiryo UI" w:hint="eastAsia"/>
                <w:w w:val="90"/>
                <w:sz w:val="24"/>
                <w:szCs w:val="24"/>
              </w:rPr>
              <w:t>額(千円)(事業費)</w:t>
            </w:r>
          </w:p>
        </w:tc>
      </w:tr>
      <w:tr w:rsidR="00A16CDA" w:rsidRPr="00AC0B99" w:rsidTr="00E42DEE">
        <w:trPr>
          <w:trHeight w:val="2979"/>
        </w:trPr>
        <w:tc>
          <w:tcPr>
            <w:tcW w:w="3726" w:type="dxa"/>
            <w:tcBorders>
              <w:bottom w:val="single" w:sz="4" w:space="0" w:color="auto"/>
            </w:tcBorders>
            <w:shd w:val="clear" w:color="auto" w:fill="auto"/>
          </w:tcPr>
          <w:p w:rsidR="00A16CDA" w:rsidRPr="007F30E7" w:rsidRDefault="00A16CDA" w:rsidP="00696567">
            <w:pPr>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大阪府プロフェッショナル人材戦略拠点運営事業</w:t>
            </w:r>
          </w:p>
          <w:p w:rsidR="00A16CDA" w:rsidRPr="007F30E7" w:rsidRDefault="00A16CDA" w:rsidP="00696567">
            <w:pPr>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＜29～33年度＞</w:t>
            </w:r>
          </w:p>
        </w:tc>
        <w:tc>
          <w:tcPr>
            <w:tcW w:w="8363" w:type="dxa"/>
            <w:tcBorders>
              <w:bottom w:val="single" w:sz="4" w:space="0" w:color="auto"/>
            </w:tcBorders>
          </w:tcPr>
          <w:p w:rsidR="00A16CDA" w:rsidRPr="007F30E7" w:rsidRDefault="00A16CDA" w:rsidP="00696567">
            <w:pPr>
              <w:ind w:left="240" w:hangingChars="100" w:hanging="240"/>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　特定の取引先への依存など「守りの経営」から、新規事業の展開など「攻めの経営」への転換をめざす府内の中小企業に対して、経営改善への意欲を喚起するセミナーや、経営をリードできるプロフェッショナル人材のマッチング等を実施。中小企業における成長戦略の実現をめざす。</w:t>
            </w:r>
          </w:p>
          <w:p w:rsidR="00A16CDA" w:rsidRPr="007F30E7" w:rsidRDefault="00A16CDA" w:rsidP="00696567">
            <w:pPr>
              <w:ind w:left="240" w:hangingChars="100" w:hanging="240"/>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　さらに、これらに取り組む全国横断的なネットワークも活用し、多様なプロフェッショナル人材の還流ルートの開拓や、働き方改革に資するセミナーの開催等を行う。</w:t>
            </w:r>
          </w:p>
          <w:p w:rsidR="00A16CDA" w:rsidRPr="007F30E7" w:rsidRDefault="00A16CDA" w:rsidP="00696567">
            <w:pPr>
              <w:ind w:left="240" w:hangingChars="100" w:hanging="240"/>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w:t>
            </w:r>
            <w:r w:rsidRPr="007F30E7">
              <w:rPr>
                <w:rFonts w:ascii="Meiryo UI" w:eastAsia="Meiryo UI" w:hAnsi="Meiryo UI" w:cs="Meiryo UI" w:hint="eastAsia"/>
                <w:color w:val="000000" w:themeColor="text1"/>
                <w:w w:val="80"/>
                <w:sz w:val="24"/>
                <w:szCs w:val="24"/>
              </w:rPr>
              <w:t>※フラグシップモデル事業【国庫10/10</w:t>
            </w:r>
            <w:r w:rsidR="00675568">
              <w:rPr>
                <w:rFonts w:ascii="Meiryo UI" w:eastAsia="Meiryo UI" w:hAnsi="Meiryo UI" w:cs="Meiryo UI" w:hint="eastAsia"/>
                <w:color w:val="000000" w:themeColor="text1"/>
                <w:w w:val="80"/>
                <w:sz w:val="24"/>
                <w:szCs w:val="24"/>
              </w:rPr>
              <w:t>】として、上乗せ申請</w:t>
            </w:r>
            <w:r w:rsidRPr="007F30E7">
              <w:rPr>
                <w:rFonts w:ascii="Meiryo UI" w:eastAsia="Meiryo UI" w:hAnsi="Meiryo UI" w:cs="Meiryo UI" w:hint="eastAsia"/>
                <w:color w:val="000000" w:themeColor="text1"/>
                <w:sz w:val="24"/>
                <w:szCs w:val="24"/>
              </w:rPr>
              <w:t>＞</w:t>
            </w:r>
          </w:p>
        </w:tc>
        <w:tc>
          <w:tcPr>
            <w:tcW w:w="2551" w:type="dxa"/>
            <w:tcBorders>
              <w:bottom w:val="single" w:sz="4" w:space="0" w:color="auto"/>
            </w:tcBorders>
            <w:vAlign w:val="center"/>
          </w:tcPr>
          <w:p w:rsidR="00A16CDA" w:rsidRPr="007F30E7" w:rsidRDefault="00A16CDA" w:rsidP="00696567">
            <w:pPr>
              <w:jc w:val="right"/>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42,239(64,479)</w:t>
            </w:r>
          </w:p>
          <w:p w:rsidR="00A16CDA" w:rsidRPr="007F30E7" w:rsidRDefault="00A16CDA" w:rsidP="00696567">
            <w:pPr>
              <w:ind w:right="480"/>
              <w:jc w:val="right"/>
              <w:rPr>
                <w:rFonts w:ascii="Meiryo UI" w:eastAsia="Meiryo UI" w:hAnsi="Meiryo UI" w:cs="Meiryo UI"/>
                <w:color w:val="000000" w:themeColor="text1"/>
                <w:sz w:val="24"/>
                <w:szCs w:val="24"/>
              </w:rPr>
            </w:pPr>
            <w:r w:rsidRPr="007F30E7">
              <w:rPr>
                <w:rFonts w:ascii="Meiryo UI" w:eastAsia="Meiryo UI" w:hAnsi="Meiryo UI" w:cs="Meiryo UI" w:hint="eastAsia"/>
                <w:color w:val="000000" w:themeColor="text1"/>
                <w:sz w:val="24"/>
                <w:szCs w:val="24"/>
              </w:rPr>
              <w:t>＜うち、20,000</w:t>
            </w:r>
          </w:p>
          <w:p w:rsidR="00A16CDA" w:rsidRPr="005D2269" w:rsidRDefault="00A16CDA" w:rsidP="00696567">
            <w:pPr>
              <w:ind w:right="240"/>
              <w:jc w:val="right"/>
              <w:rPr>
                <w:rFonts w:ascii="Meiryo UI" w:eastAsia="Meiryo UI" w:hAnsi="Meiryo UI" w:cs="Meiryo UI"/>
                <w:color w:val="FF0000"/>
                <w:sz w:val="24"/>
                <w:szCs w:val="24"/>
              </w:rPr>
            </w:pPr>
            <w:r w:rsidRPr="007F30E7">
              <w:rPr>
                <w:rFonts w:ascii="Meiryo UI" w:eastAsia="Meiryo UI" w:hAnsi="Meiryo UI" w:cs="Meiryo UI" w:hint="eastAsia"/>
                <w:color w:val="000000" w:themeColor="text1"/>
                <w:sz w:val="24"/>
                <w:szCs w:val="24"/>
              </w:rPr>
              <w:t>上乗せ申請分＞</w:t>
            </w:r>
          </w:p>
        </w:tc>
      </w:tr>
      <w:tr w:rsidR="000A7BB9" w:rsidRPr="007F30E7" w:rsidTr="00B05D5D">
        <w:tc>
          <w:tcPr>
            <w:tcW w:w="12089" w:type="dxa"/>
            <w:gridSpan w:val="2"/>
            <w:shd w:val="clear" w:color="auto" w:fill="auto"/>
            <w:vAlign w:val="center"/>
          </w:tcPr>
          <w:p w:rsidR="000A7BB9" w:rsidRPr="007F30E7" w:rsidRDefault="000A7BB9" w:rsidP="00AC0B99">
            <w:pPr>
              <w:ind w:firstLineChars="100" w:firstLine="240"/>
              <w:jc w:val="center"/>
              <w:rPr>
                <w:rFonts w:ascii="Meiryo UI" w:eastAsia="Meiryo UI" w:hAnsi="Meiryo UI" w:cs="Meiryo UI"/>
                <w:color w:val="000000" w:themeColor="text1"/>
                <w:sz w:val="24"/>
                <w:szCs w:val="24"/>
              </w:rPr>
            </w:pPr>
            <w:r w:rsidRPr="007F30E7">
              <w:rPr>
                <w:rFonts w:ascii="Meiryo UI" w:eastAsia="Meiryo UI" w:hAnsi="Meiryo UI" w:cs="Meiryo UI" w:hint="eastAsia"/>
                <w:b/>
                <w:color w:val="000000" w:themeColor="text1"/>
                <w:sz w:val="24"/>
                <w:szCs w:val="24"/>
              </w:rPr>
              <w:t>【合計】</w:t>
            </w:r>
          </w:p>
        </w:tc>
        <w:tc>
          <w:tcPr>
            <w:tcW w:w="2551" w:type="dxa"/>
            <w:vAlign w:val="center"/>
          </w:tcPr>
          <w:p w:rsidR="000A54FB" w:rsidRPr="007F30E7" w:rsidRDefault="00E42DEE" w:rsidP="00AC0B99">
            <w:pPr>
              <w:jc w:val="right"/>
              <w:rPr>
                <w:rFonts w:ascii="Meiryo UI" w:eastAsia="Meiryo UI" w:hAnsi="Meiryo UI" w:cs="Meiryo UI"/>
                <w:b/>
                <w:color w:val="000000" w:themeColor="text1"/>
                <w:sz w:val="24"/>
                <w:szCs w:val="24"/>
              </w:rPr>
            </w:pPr>
            <w:r w:rsidRPr="007F30E7">
              <w:rPr>
                <w:rFonts w:ascii="Meiryo UI" w:eastAsia="Meiryo UI" w:hAnsi="Meiryo UI" w:cs="Meiryo UI" w:hint="eastAsia"/>
                <w:b/>
                <w:color w:val="000000" w:themeColor="text1"/>
                <w:sz w:val="24"/>
                <w:szCs w:val="24"/>
              </w:rPr>
              <w:t>4,223</w:t>
            </w:r>
            <w:r w:rsidR="000A54FB" w:rsidRPr="007F30E7">
              <w:rPr>
                <w:rFonts w:ascii="Meiryo UI" w:eastAsia="Meiryo UI" w:hAnsi="Meiryo UI" w:cs="Meiryo UI" w:hint="eastAsia"/>
                <w:b/>
                <w:color w:val="000000" w:themeColor="text1"/>
                <w:sz w:val="24"/>
                <w:szCs w:val="24"/>
              </w:rPr>
              <w:t>万円</w:t>
            </w:r>
          </w:p>
          <w:p w:rsidR="000A7BB9" w:rsidRPr="007F30E7" w:rsidRDefault="00E42DEE" w:rsidP="00AC0B99">
            <w:pPr>
              <w:jc w:val="right"/>
              <w:rPr>
                <w:rFonts w:ascii="Meiryo UI" w:eastAsia="Meiryo UI" w:hAnsi="Meiryo UI" w:cs="Meiryo UI"/>
                <w:b/>
                <w:color w:val="000000" w:themeColor="text1"/>
                <w:sz w:val="24"/>
                <w:szCs w:val="24"/>
              </w:rPr>
            </w:pPr>
            <w:r w:rsidRPr="007F30E7">
              <w:rPr>
                <w:rFonts w:ascii="Meiryo UI" w:eastAsia="Meiryo UI" w:hAnsi="Meiryo UI" w:cs="Meiryo UI" w:hint="eastAsia"/>
                <w:b/>
                <w:color w:val="000000" w:themeColor="text1"/>
                <w:sz w:val="24"/>
                <w:szCs w:val="24"/>
              </w:rPr>
              <w:t>(6,447</w:t>
            </w:r>
            <w:r w:rsidR="000A54FB" w:rsidRPr="007F30E7">
              <w:rPr>
                <w:rFonts w:ascii="Meiryo UI" w:eastAsia="Meiryo UI" w:hAnsi="Meiryo UI" w:cs="Meiryo UI" w:hint="eastAsia"/>
                <w:b/>
                <w:color w:val="000000" w:themeColor="text1"/>
                <w:sz w:val="24"/>
                <w:szCs w:val="24"/>
              </w:rPr>
              <w:t>万円)</w:t>
            </w:r>
          </w:p>
        </w:tc>
      </w:tr>
    </w:tbl>
    <w:p w:rsidR="00A8570C" w:rsidRDefault="00A8570C" w:rsidP="00AC0B99">
      <w:pPr>
        <w:widowControl/>
        <w:jc w:val="left"/>
        <w:rPr>
          <w:rFonts w:ascii="Meiryo UI" w:eastAsia="Meiryo UI" w:hAnsi="Meiryo UI" w:cs="Meiryo UI"/>
          <w:b/>
          <w:color w:val="000000" w:themeColor="text1"/>
          <w:sz w:val="24"/>
          <w:szCs w:val="24"/>
        </w:rPr>
      </w:pPr>
    </w:p>
    <w:p w:rsidR="001B5730" w:rsidRPr="007F30E7" w:rsidRDefault="001B5730" w:rsidP="00AC0B99">
      <w:pPr>
        <w:widowControl/>
        <w:jc w:val="left"/>
        <w:rPr>
          <w:rFonts w:ascii="Meiryo UI" w:eastAsia="Meiryo UI" w:hAnsi="Meiryo UI" w:cs="Meiryo UI"/>
          <w:b/>
          <w:color w:val="000000" w:themeColor="text1"/>
          <w:sz w:val="24"/>
          <w:szCs w:val="24"/>
        </w:rPr>
      </w:pPr>
    </w:p>
    <w:p w:rsidR="00E42DEE" w:rsidRPr="007F30E7" w:rsidRDefault="00E42DEE" w:rsidP="00E42DEE">
      <w:pPr>
        <w:rPr>
          <w:rFonts w:ascii="Meiryo UI" w:eastAsia="Meiryo UI" w:hAnsi="Meiryo UI" w:cs="Meiryo UI"/>
          <w:b/>
          <w:color w:val="000000" w:themeColor="text1"/>
          <w:sz w:val="24"/>
          <w:szCs w:val="24"/>
        </w:rPr>
      </w:pPr>
      <w:r w:rsidRPr="007F30E7">
        <w:rPr>
          <w:rFonts w:ascii="Meiryo UI" w:eastAsia="Meiryo UI" w:hAnsi="Meiryo UI" w:cs="Meiryo UI" w:hint="eastAsia"/>
          <w:b/>
          <w:color w:val="000000" w:themeColor="text1"/>
          <w:sz w:val="24"/>
          <w:szCs w:val="24"/>
        </w:rPr>
        <w:t>地方創生推進交付金(H29)</w:t>
      </w:r>
      <w:r w:rsidRPr="007F30E7">
        <w:rPr>
          <w:rFonts w:ascii="Meiryo UI" w:eastAsia="Meiryo UI" w:hAnsi="Meiryo UI" w:cs="Meiryo UI" w:hint="eastAsia"/>
          <w:color w:val="000000" w:themeColor="text1"/>
          <w:sz w:val="24"/>
          <w:szCs w:val="24"/>
        </w:rPr>
        <w:t xml:space="preserve">　</w:t>
      </w:r>
      <w:r w:rsidRPr="007F30E7">
        <w:rPr>
          <w:rFonts w:ascii="Meiryo UI" w:eastAsia="Meiryo UI" w:hAnsi="Meiryo UI" w:cs="Meiryo UI" w:hint="eastAsia"/>
          <w:b/>
          <w:color w:val="000000" w:themeColor="text1"/>
          <w:sz w:val="24"/>
          <w:szCs w:val="24"/>
        </w:rPr>
        <w:t>継続事業</w:t>
      </w:r>
      <w:r w:rsidR="001B5730">
        <w:rPr>
          <w:rFonts w:ascii="Meiryo UI" w:eastAsia="Meiryo UI" w:hAnsi="Meiryo UI" w:cs="Meiryo UI" w:hint="eastAsia"/>
          <w:b/>
          <w:color w:val="000000" w:themeColor="text1"/>
          <w:sz w:val="24"/>
          <w:szCs w:val="24"/>
        </w:rPr>
        <w:t xml:space="preserve">　　　　　　　　　　　　　　　　　　　　　　　　　　　　　　　　　　　　　　　　　　　　　平成29年5月31日交付決定</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8363"/>
        <w:gridCol w:w="2551"/>
      </w:tblGrid>
      <w:tr w:rsidR="00E42DEE" w:rsidRPr="00AC0B99" w:rsidTr="00696567">
        <w:tc>
          <w:tcPr>
            <w:tcW w:w="3726"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事業名</w:t>
            </w:r>
          </w:p>
        </w:tc>
        <w:tc>
          <w:tcPr>
            <w:tcW w:w="8363" w:type="dxa"/>
            <w:shd w:val="clear" w:color="auto" w:fill="BFBFBF" w:themeFill="background1" w:themeFillShade="BF"/>
            <w:vAlign w:val="center"/>
          </w:tcPr>
          <w:p w:rsidR="00E42DEE" w:rsidRPr="00AC0B99" w:rsidRDefault="00E42DEE" w:rsidP="00696567">
            <w:pPr>
              <w:jc w:val="center"/>
              <w:rPr>
                <w:rFonts w:ascii="Meiryo UI" w:eastAsia="Meiryo UI" w:hAnsi="Meiryo UI" w:cs="Meiryo UI"/>
                <w:sz w:val="24"/>
                <w:szCs w:val="24"/>
              </w:rPr>
            </w:pPr>
            <w:r w:rsidRPr="00AC0B99">
              <w:rPr>
                <w:rFonts w:ascii="Meiryo UI" w:eastAsia="Meiryo UI" w:hAnsi="Meiryo UI" w:cs="Meiryo UI" w:hint="eastAsia"/>
                <w:sz w:val="24"/>
                <w:szCs w:val="24"/>
              </w:rPr>
              <w:t>内容</w:t>
            </w:r>
          </w:p>
        </w:tc>
        <w:tc>
          <w:tcPr>
            <w:tcW w:w="2551" w:type="dxa"/>
            <w:shd w:val="clear" w:color="auto" w:fill="BFBFBF" w:themeFill="background1" w:themeFillShade="BF"/>
            <w:vAlign w:val="center"/>
          </w:tcPr>
          <w:p w:rsidR="00E42DEE" w:rsidRPr="00AC0B99" w:rsidRDefault="0008074C" w:rsidP="00E42DEE">
            <w:pPr>
              <w:jc w:val="center"/>
              <w:rPr>
                <w:rFonts w:ascii="Meiryo UI" w:eastAsia="Meiryo UI" w:hAnsi="Meiryo UI" w:cs="Meiryo UI"/>
                <w:sz w:val="24"/>
                <w:szCs w:val="24"/>
              </w:rPr>
            </w:pPr>
            <w:r>
              <w:rPr>
                <w:rFonts w:ascii="Meiryo UI" w:eastAsia="Meiryo UI" w:hAnsi="Meiryo UI" w:cs="Meiryo UI" w:hint="eastAsia"/>
                <w:w w:val="90"/>
                <w:sz w:val="24"/>
                <w:szCs w:val="24"/>
              </w:rPr>
              <w:t>採択</w:t>
            </w:r>
            <w:r w:rsidR="00E42DEE" w:rsidRPr="00464FA4">
              <w:rPr>
                <w:rFonts w:ascii="Meiryo UI" w:eastAsia="Meiryo UI" w:hAnsi="Meiryo UI" w:cs="Meiryo UI" w:hint="eastAsia"/>
                <w:w w:val="90"/>
                <w:sz w:val="24"/>
                <w:szCs w:val="24"/>
              </w:rPr>
              <w:t>額(千円)(事業費)</w:t>
            </w:r>
          </w:p>
        </w:tc>
      </w:tr>
      <w:tr w:rsidR="00E42DEE" w:rsidRPr="00AC0B99" w:rsidTr="00E42DEE">
        <w:trPr>
          <w:trHeight w:val="428"/>
        </w:trPr>
        <w:tc>
          <w:tcPr>
            <w:tcW w:w="3726" w:type="dxa"/>
            <w:tcBorders>
              <w:bottom w:val="single" w:sz="4" w:space="0" w:color="auto"/>
            </w:tcBorders>
            <w:shd w:val="clear" w:color="auto" w:fill="auto"/>
          </w:tcPr>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大阪版DMO推進・連携事業</w:t>
            </w:r>
          </w:p>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＜28～32年度＞</w:t>
            </w:r>
            <w:r>
              <w:rPr>
                <w:rFonts w:ascii="Meiryo UI" w:eastAsia="Meiryo UI" w:hAnsi="Meiryo UI" w:cs="Meiryo UI" w:hint="eastAsia"/>
                <w:sz w:val="24"/>
                <w:szCs w:val="24"/>
              </w:rPr>
              <w:t xml:space="preserve">　</w:t>
            </w:r>
          </w:p>
        </w:tc>
        <w:tc>
          <w:tcPr>
            <w:tcW w:w="8363" w:type="dxa"/>
            <w:tcBorders>
              <w:bottom w:val="single" w:sz="4" w:space="0" w:color="auto"/>
            </w:tcBorders>
          </w:tcPr>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大阪観光局を中心に、マーケティングリサーチの手法を用いて、都市の機能を活かした観光戦略を策定。「観光地経営」の視点に立った観光地域づくりを推進。</w:t>
            </w:r>
          </w:p>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（広域連携事業として、大阪市、東大阪市と共同申請）</w:t>
            </w:r>
          </w:p>
        </w:tc>
        <w:tc>
          <w:tcPr>
            <w:tcW w:w="2551" w:type="dxa"/>
            <w:tcBorders>
              <w:bottom w:val="single" w:sz="4" w:space="0" w:color="auto"/>
            </w:tcBorders>
            <w:vAlign w:val="center"/>
          </w:tcPr>
          <w:p w:rsidR="00E42DEE" w:rsidRPr="00F324A7" w:rsidRDefault="00E42DEE" w:rsidP="00696567">
            <w:pPr>
              <w:jc w:val="right"/>
              <w:rPr>
                <w:rFonts w:ascii="Meiryo UI" w:eastAsia="Meiryo UI" w:hAnsi="Meiryo UI" w:cs="Meiryo UI"/>
                <w:sz w:val="24"/>
                <w:szCs w:val="24"/>
              </w:rPr>
            </w:pPr>
            <w:r w:rsidRPr="00A16CDA">
              <w:rPr>
                <w:rFonts w:ascii="Meiryo UI" w:eastAsia="Meiryo UI" w:hAnsi="Meiryo UI" w:cs="Meiryo UI"/>
                <w:sz w:val="24"/>
                <w:szCs w:val="24"/>
              </w:rPr>
              <w:t>70,000</w:t>
            </w:r>
            <w:r>
              <w:rPr>
                <w:rFonts w:ascii="Meiryo UI" w:eastAsia="Meiryo UI" w:hAnsi="Meiryo UI" w:cs="Meiryo UI" w:hint="eastAsia"/>
                <w:sz w:val="24"/>
                <w:szCs w:val="24"/>
              </w:rPr>
              <w:t xml:space="preserve"> (</w:t>
            </w:r>
            <w:r>
              <w:rPr>
                <w:rFonts w:ascii="Meiryo UI" w:eastAsia="Meiryo UI" w:hAnsi="Meiryo UI" w:cs="Meiryo UI"/>
                <w:sz w:val="24"/>
                <w:szCs w:val="24"/>
              </w:rPr>
              <w:t>140,000</w:t>
            </w:r>
            <w:r>
              <w:rPr>
                <w:rFonts w:ascii="Meiryo UI" w:eastAsia="Meiryo UI" w:hAnsi="Meiryo UI" w:cs="Meiryo UI" w:hint="eastAsia"/>
                <w:sz w:val="24"/>
                <w:szCs w:val="24"/>
              </w:rPr>
              <w:t>)</w:t>
            </w:r>
          </w:p>
        </w:tc>
      </w:tr>
      <w:tr w:rsidR="00E42DEE" w:rsidRPr="00AC0B99" w:rsidTr="00696567">
        <w:trPr>
          <w:trHeight w:val="3828"/>
        </w:trPr>
        <w:tc>
          <w:tcPr>
            <w:tcW w:w="3726" w:type="dxa"/>
            <w:tcBorders>
              <w:bottom w:val="single" w:sz="4" w:space="0" w:color="auto"/>
            </w:tcBorders>
            <w:shd w:val="clear" w:color="auto" w:fill="auto"/>
          </w:tcPr>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大阪産業成長促進事業</w:t>
            </w:r>
          </w:p>
          <w:p w:rsidR="00E42DEE" w:rsidRPr="00AC0B99" w:rsidRDefault="00E42DEE" w:rsidP="00696567">
            <w:pPr>
              <w:ind w:firstLineChars="100" w:firstLine="240"/>
              <w:rPr>
                <w:rFonts w:ascii="Meiryo UI" w:eastAsia="Meiryo UI" w:hAnsi="Meiryo UI" w:cs="Meiryo UI"/>
                <w:sz w:val="24"/>
                <w:szCs w:val="24"/>
              </w:rPr>
            </w:pPr>
            <w:r w:rsidRPr="00AC0B99">
              <w:rPr>
                <w:rFonts w:ascii="Meiryo UI" w:eastAsia="Meiryo UI" w:hAnsi="Meiryo UI" w:cs="Meiryo UI" w:hint="eastAsia"/>
                <w:noProof/>
                <w:sz w:val="24"/>
                <w:szCs w:val="24"/>
              </w:rPr>
              <mc:AlternateContent>
                <mc:Choice Requires="wps">
                  <w:drawing>
                    <wp:anchor distT="0" distB="0" distL="114300" distR="114300" simplePos="0" relativeHeight="251667456" behindDoc="0" locked="0" layoutInCell="1" allowOverlap="1" wp14:anchorId="491D9DED" wp14:editId="1040570E">
                      <wp:simplePos x="0" y="0"/>
                      <wp:positionH relativeFrom="column">
                        <wp:posOffset>25903</wp:posOffset>
                      </wp:positionH>
                      <wp:positionV relativeFrom="paragraph">
                        <wp:posOffset>15289</wp:posOffset>
                      </wp:positionV>
                      <wp:extent cx="2137558" cy="783772"/>
                      <wp:effectExtent l="0" t="0" r="15240" b="16510"/>
                      <wp:wrapNone/>
                      <wp:docPr id="3" name="大かっこ 3"/>
                      <wp:cNvGraphicFramePr/>
                      <a:graphic xmlns:a="http://schemas.openxmlformats.org/drawingml/2006/main">
                        <a:graphicData uri="http://schemas.microsoft.com/office/word/2010/wordprocessingShape">
                          <wps:wsp>
                            <wps:cNvSpPr/>
                            <wps:spPr>
                              <a:xfrm>
                                <a:off x="0" y="0"/>
                                <a:ext cx="2137558" cy="783772"/>
                              </a:xfrm>
                              <a:prstGeom prst="bracketPair">
                                <a:avLst>
                                  <a:gd name="adj" fmla="val 62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5pt;margin-top:1.2pt;width:168.3pt;height:6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" adj="1360" strokecolor="black [3040]"/>
                  </w:pict>
                </mc:Fallback>
              </mc:AlternateContent>
            </w:r>
            <w:r w:rsidRPr="00AC0B99">
              <w:rPr>
                <w:rFonts w:ascii="Meiryo UI" w:eastAsia="Meiryo UI" w:hAnsi="Meiryo UI" w:cs="Meiryo UI" w:hint="eastAsia"/>
                <w:sz w:val="24"/>
                <w:szCs w:val="24"/>
              </w:rPr>
              <w:t>医療機器研究開発支援事業</w:t>
            </w:r>
          </w:p>
          <w:p w:rsidR="00E42DEE" w:rsidRPr="00AC0B99" w:rsidRDefault="00E42DEE" w:rsidP="00696567">
            <w:pPr>
              <w:ind w:firstLineChars="100" w:firstLine="240"/>
              <w:rPr>
                <w:rFonts w:ascii="Meiryo UI" w:eastAsia="Meiryo UI" w:hAnsi="Meiryo UI" w:cs="Meiryo UI"/>
                <w:sz w:val="24"/>
                <w:szCs w:val="24"/>
              </w:rPr>
            </w:pPr>
            <w:r w:rsidRPr="00AC0B99">
              <w:rPr>
                <w:rFonts w:ascii="Meiryo UI" w:eastAsia="Meiryo UI" w:hAnsi="Meiryo UI" w:cs="Meiryo UI" w:hint="eastAsia"/>
                <w:sz w:val="24"/>
                <w:szCs w:val="24"/>
              </w:rPr>
              <w:t>成長志向創業者支援事業</w:t>
            </w:r>
          </w:p>
          <w:p w:rsidR="00E42DEE" w:rsidRPr="005F132F" w:rsidRDefault="00E42DEE" w:rsidP="00696567">
            <w:pPr>
              <w:ind w:firstLineChars="100" w:firstLine="240"/>
              <w:rPr>
                <w:rFonts w:ascii="Meiryo UI" w:eastAsia="Meiryo UI" w:hAnsi="Meiryo UI" w:cs="Meiryo UI"/>
                <w:sz w:val="24"/>
                <w:szCs w:val="24"/>
              </w:rPr>
            </w:pPr>
            <w:r w:rsidRPr="00AC0B99">
              <w:rPr>
                <w:rFonts w:ascii="Meiryo UI" w:eastAsia="Meiryo UI" w:hAnsi="Meiryo UI" w:cs="Meiryo UI" w:hint="eastAsia"/>
                <w:sz w:val="24"/>
                <w:szCs w:val="24"/>
              </w:rPr>
              <w:t>おおさかＵＩＪターン促進事業</w:t>
            </w:r>
          </w:p>
          <w:p w:rsidR="00E42DEE" w:rsidRPr="00AC0B99" w:rsidRDefault="00E42DEE" w:rsidP="00A1045B">
            <w:pPr>
              <w:rPr>
                <w:rFonts w:ascii="Meiryo UI" w:eastAsia="Meiryo UI" w:hAnsi="Meiryo UI" w:cs="Meiryo UI"/>
                <w:sz w:val="24"/>
                <w:szCs w:val="24"/>
              </w:rPr>
            </w:pPr>
            <w:r w:rsidRPr="00AC0B99">
              <w:rPr>
                <w:rFonts w:ascii="Meiryo UI" w:eastAsia="Meiryo UI" w:hAnsi="Meiryo UI" w:cs="Meiryo UI" w:hint="eastAsia"/>
                <w:sz w:val="24"/>
                <w:szCs w:val="24"/>
              </w:rPr>
              <w:t>＜28～30年度＞</w:t>
            </w:r>
            <w:r>
              <w:rPr>
                <w:rFonts w:ascii="Meiryo UI" w:eastAsia="Meiryo UI" w:hAnsi="Meiryo UI" w:cs="Meiryo UI" w:hint="eastAsia"/>
                <w:sz w:val="24"/>
                <w:szCs w:val="24"/>
              </w:rPr>
              <w:t xml:space="preserve">　</w:t>
            </w:r>
          </w:p>
        </w:tc>
        <w:tc>
          <w:tcPr>
            <w:tcW w:w="8363" w:type="dxa"/>
            <w:tcBorders>
              <w:bottom w:val="single" w:sz="4" w:space="0" w:color="auto"/>
            </w:tcBorders>
          </w:tcPr>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医療機器分野において事業化をめざす中小企業の試作品開発・試験評価段階における経費について支援。</w:t>
            </w:r>
          </w:p>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株式上場をめざす成長志向のベンチャー創業者に対し、既に成功した起業家等による個別指導等の支援を実施し、成功者が次の挑戦者を支援するベンチャーエコシステムの構築を促進。</w:t>
            </w:r>
          </w:p>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東京圏の優秀な人材が府内の中堅・中小企業にUIJターン就職するために、府内企業の魅力を伝える情報誌やホームページの作成、東京圏でのセミナー等を実施する。また、「攻めの経営」への転換をめざす中小企業のプロフェッショナル人材確保のサポートを実施。</w:t>
            </w:r>
          </w:p>
        </w:tc>
        <w:tc>
          <w:tcPr>
            <w:tcW w:w="2551" w:type="dxa"/>
            <w:tcBorders>
              <w:bottom w:val="single" w:sz="4" w:space="0" w:color="auto"/>
            </w:tcBorders>
            <w:vAlign w:val="center"/>
          </w:tcPr>
          <w:p w:rsidR="00E42DEE" w:rsidRPr="00AC0B99" w:rsidRDefault="00E42DEE" w:rsidP="00696567">
            <w:pPr>
              <w:jc w:val="right"/>
              <w:rPr>
                <w:rFonts w:ascii="Meiryo UI" w:eastAsia="Meiryo UI" w:hAnsi="Meiryo UI" w:cs="Meiryo UI"/>
                <w:sz w:val="24"/>
                <w:szCs w:val="24"/>
              </w:rPr>
            </w:pPr>
            <w:r w:rsidRPr="00A16CDA">
              <w:rPr>
                <w:rFonts w:ascii="Meiryo UI" w:eastAsia="Meiryo UI" w:hAnsi="Meiryo UI" w:cs="Meiryo UI"/>
                <w:sz w:val="24"/>
                <w:szCs w:val="24"/>
              </w:rPr>
              <w:t>25,316</w:t>
            </w:r>
            <w:r w:rsidRPr="00A16CDA">
              <w:rPr>
                <w:rFonts w:ascii="Meiryo UI" w:eastAsia="Meiryo UI" w:hAnsi="Meiryo UI" w:cs="Meiryo UI"/>
                <w:sz w:val="24"/>
                <w:szCs w:val="24"/>
              </w:rPr>
              <w:tab/>
            </w:r>
            <w:r>
              <w:rPr>
                <w:rFonts w:ascii="Meiryo UI" w:eastAsia="Meiryo UI" w:hAnsi="Meiryo UI" w:cs="Meiryo UI" w:hint="eastAsia"/>
                <w:sz w:val="24"/>
                <w:szCs w:val="24"/>
              </w:rPr>
              <w:t>(</w:t>
            </w:r>
            <w:r w:rsidRPr="00A16CDA">
              <w:rPr>
                <w:rFonts w:ascii="Meiryo UI" w:eastAsia="Meiryo UI" w:hAnsi="Meiryo UI" w:cs="Meiryo UI"/>
                <w:sz w:val="24"/>
                <w:szCs w:val="24"/>
              </w:rPr>
              <w:t>50,632</w:t>
            </w:r>
            <w:r>
              <w:rPr>
                <w:rFonts w:ascii="Meiryo UI" w:eastAsia="Meiryo UI" w:hAnsi="Meiryo UI" w:cs="Meiryo UI" w:hint="eastAsia"/>
                <w:sz w:val="24"/>
                <w:szCs w:val="24"/>
              </w:rPr>
              <w:t>)</w:t>
            </w:r>
          </w:p>
        </w:tc>
      </w:tr>
      <w:tr w:rsidR="00E42DEE" w:rsidRPr="00AC0B99" w:rsidTr="00696567">
        <w:tc>
          <w:tcPr>
            <w:tcW w:w="3726" w:type="dxa"/>
            <w:shd w:val="clear" w:color="auto" w:fill="auto"/>
          </w:tcPr>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若者安定就職応援事業</w:t>
            </w:r>
          </w:p>
          <w:p w:rsidR="00E42DEE" w:rsidRPr="00AC0B99" w:rsidRDefault="00E42DEE" w:rsidP="00A1045B">
            <w:pPr>
              <w:rPr>
                <w:rFonts w:ascii="Meiryo UI" w:eastAsia="Meiryo UI" w:hAnsi="Meiryo UI" w:cs="Meiryo UI"/>
                <w:sz w:val="24"/>
                <w:szCs w:val="24"/>
              </w:rPr>
            </w:pPr>
            <w:r w:rsidRPr="00AC0B99">
              <w:rPr>
                <w:rFonts w:ascii="Meiryo UI" w:eastAsia="Meiryo UI" w:hAnsi="Meiryo UI" w:cs="Meiryo UI" w:hint="eastAsia"/>
                <w:sz w:val="24"/>
                <w:szCs w:val="24"/>
              </w:rPr>
              <w:t>＜28～30年度＞</w:t>
            </w:r>
            <w:r>
              <w:rPr>
                <w:rFonts w:ascii="Meiryo UI" w:eastAsia="Meiryo UI" w:hAnsi="Meiryo UI" w:cs="Meiryo UI" w:hint="eastAsia"/>
                <w:sz w:val="24"/>
                <w:szCs w:val="24"/>
              </w:rPr>
              <w:t xml:space="preserve">　</w:t>
            </w:r>
          </w:p>
        </w:tc>
        <w:tc>
          <w:tcPr>
            <w:tcW w:w="8363" w:type="dxa"/>
          </w:tcPr>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地域の金融機関等と連携して、人材不足状況にある中小企業と大学生等若者とのマッチングを促進。また、ものづくり企業等での高校生のインターンシップを実施。</w:t>
            </w:r>
          </w:p>
        </w:tc>
        <w:tc>
          <w:tcPr>
            <w:tcW w:w="2551" w:type="dxa"/>
            <w:vAlign w:val="center"/>
          </w:tcPr>
          <w:p w:rsidR="00E42DEE" w:rsidRPr="00AC0B99" w:rsidRDefault="00E42DEE" w:rsidP="00696567">
            <w:pPr>
              <w:wordWrap w:val="0"/>
              <w:jc w:val="right"/>
              <w:rPr>
                <w:rFonts w:ascii="Meiryo UI" w:eastAsia="Meiryo UI" w:hAnsi="Meiryo UI" w:cs="Meiryo UI"/>
                <w:sz w:val="24"/>
                <w:szCs w:val="24"/>
              </w:rPr>
            </w:pPr>
            <w:r w:rsidRPr="00A16CDA">
              <w:rPr>
                <w:rFonts w:ascii="Meiryo UI" w:eastAsia="Meiryo UI" w:hAnsi="Meiryo UI" w:cs="Meiryo UI"/>
                <w:sz w:val="24"/>
                <w:szCs w:val="24"/>
              </w:rPr>
              <w:t>7,229</w:t>
            </w:r>
            <w:r w:rsidRPr="00AC0B99">
              <w:rPr>
                <w:rFonts w:ascii="Meiryo UI" w:eastAsia="Meiryo UI" w:hAnsi="Meiryo UI" w:cs="Meiryo UI" w:hint="eastAsia"/>
                <w:sz w:val="24"/>
                <w:szCs w:val="24"/>
              </w:rPr>
              <w:t>(</w:t>
            </w:r>
            <w:r w:rsidRPr="00A16CDA">
              <w:rPr>
                <w:rFonts w:ascii="Meiryo UI" w:eastAsia="Meiryo UI" w:hAnsi="Meiryo UI" w:cs="Meiryo UI"/>
                <w:sz w:val="24"/>
                <w:szCs w:val="24"/>
              </w:rPr>
              <w:t>14,459</w:t>
            </w:r>
            <w:r w:rsidRPr="00AC0B99">
              <w:rPr>
                <w:rFonts w:ascii="Meiryo UI" w:eastAsia="Meiryo UI" w:hAnsi="Meiryo UI" w:cs="Meiryo UI" w:hint="eastAsia"/>
                <w:sz w:val="24"/>
                <w:szCs w:val="24"/>
              </w:rPr>
              <w:t>)</w:t>
            </w:r>
          </w:p>
        </w:tc>
      </w:tr>
      <w:tr w:rsidR="00E42DEE" w:rsidRPr="00AC0B99" w:rsidTr="00696567">
        <w:tc>
          <w:tcPr>
            <w:tcW w:w="3726" w:type="dxa"/>
            <w:shd w:val="clear" w:color="auto" w:fill="auto"/>
          </w:tcPr>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女性・若者働き方改革推進事業</w:t>
            </w:r>
          </w:p>
          <w:p w:rsidR="00E42DEE" w:rsidRPr="00AC0B99" w:rsidRDefault="00E42DEE" w:rsidP="00696567">
            <w:pPr>
              <w:rPr>
                <w:rFonts w:ascii="Meiryo UI" w:eastAsia="Meiryo UI" w:hAnsi="Meiryo UI" w:cs="Meiryo UI"/>
                <w:w w:val="90"/>
                <w:sz w:val="24"/>
                <w:szCs w:val="24"/>
              </w:rPr>
            </w:pPr>
            <w:r w:rsidRPr="00AC0B99">
              <w:rPr>
                <w:rFonts w:ascii="Meiryo UI" w:eastAsia="Meiryo UI" w:hAnsi="Meiryo UI" w:cs="Meiryo UI" w:hint="eastAsia"/>
                <w:w w:val="90"/>
                <w:sz w:val="24"/>
                <w:szCs w:val="24"/>
              </w:rPr>
              <w:t>（OSAKAしごとフィールド運営事業費）</w:t>
            </w:r>
          </w:p>
          <w:p w:rsidR="00E42DEE" w:rsidRPr="00A16CDA" w:rsidRDefault="00E42DEE" w:rsidP="00A1045B">
            <w:pPr>
              <w:rPr>
                <w:rFonts w:ascii="Meiryo UI" w:eastAsia="Meiryo UI" w:hAnsi="Meiryo UI" w:cs="Meiryo UI"/>
                <w:sz w:val="24"/>
                <w:szCs w:val="24"/>
              </w:rPr>
            </w:pPr>
            <w:r w:rsidRPr="00AC0B99">
              <w:rPr>
                <w:rFonts w:ascii="Meiryo UI" w:eastAsia="Meiryo UI" w:hAnsi="Meiryo UI" w:cs="Meiryo UI" w:hint="eastAsia"/>
                <w:sz w:val="24"/>
                <w:szCs w:val="24"/>
              </w:rPr>
              <w:t>＜28～30年度＞</w:t>
            </w:r>
            <w:r>
              <w:rPr>
                <w:rFonts w:ascii="Meiryo UI" w:eastAsia="Meiryo UI" w:hAnsi="Meiryo UI" w:cs="Meiryo UI" w:hint="eastAsia"/>
                <w:sz w:val="24"/>
                <w:szCs w:val="24"/>
              </w:rPr>
              <w:t xml:space="preserve">　</w:t>
            </w:r>
          </w:p>
        </w:tc>
        <w:tc>
          <w:tcPr>
            <w:tcW w:w="8363" w:type="dxa"/>
          </w:tcPr>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大阪の産業を支える製造、運輸、建設分野の人材確保を図るとともに、女性・若者の安定就職、経済的自立を実現するため、業界団体や行政機関等との連携体制を構築し、新たに設置した地域働き方改革包括支援センター(仮称)において大阪府独自の職場改善プログラム(パッションプログラム)の提供等による業界・企業支援や、求職者の事務職志向の転換を促す新たな就職支援を実施</w:t>
            </w:r>
          </w:p>
        </w:tc>
        <w:tc>
          <w:tcPr>
            <w:tcW w:w="2551" w:type="dxa"/>
            <w:vAlign w:val="center"/>
          </w:tcPr>
          <w:p w:rsidR="00E42DEE" w:rsidRPr="00AC0B99" w:rsidRDefault="00E42DEE" w:rsidP="00696567">
            <w:pPr>
              <w:jc w:val="right"/>
              <w:rPr>
                <w:rFonts w:ascii="Meiryo UI" w:eastAsia="Meiryo UI" w:hAnsi="Meiryo UI" w:cs="Meiryo UI"/>
                <w:sz w:val="24"/>
                <w:szCs w:val="24"/>
              </w:rPr>
            </w:pPr>
            <w:r w:rsidRPr="00A16CDA">
              <w:rPr>
                <w:rFonts w:ascii="Meiryo UI" w:eastAsia="Meiryo UI" w:hAnsi="Meiryo UI" w:cs="Meiryo UI"/>
                <w:sz w:val="24"/>
                <w:szCs w:val="24"/>
              </w:rPr>
              <w:t>40,891</w:t>
            </w:r>
            <w:r w:rsidRPr="00A16CDA">
              <w:rPr>
                <w:rFonts w:ascii="Meiryo UI" w:eastAsia="Meiryo UI" w:hAnsi="Meiryo UI" w:cs="Meiryo UI"/>
                <w:sz w:val="24"/>
                <w:szCs w:val="24"/>
              </w:rPr>
              <w:tab/>
            </w:r>
            <w:r w:rsidRPr="00AC0B99">
              <w:rPr>
                <w:rFonts w:ascii="Meiryo UI" w:eastAsia="Meiryo UI" w:hAnsi="Meiryo UI" w:cs="Meiryo UI" w:hint="eastAsia"/>
                <w:sz w:val="24"/>
                <w:szCs w:val="24"/>
              </w:rPr>
              <w:t>(</w:t>
            </w:r>
            <w:r w:rsidRPr="00A16CDA">
              <w:rPr>
                <w:rFonts w:ascii="Meiryo UI" w:eastAsia="Meiryo UI" w:hAnsi="Meiryo UI" w:cs="Meiryo UI"/>
                <w:sz w:val="24"/>
                <w:szCs w:val="24"/>
              </w:rPr>
              <w:t>81,783</w:t>
            </w:r>
            <w:r w:rsidRPr="00AC0B99">
              <w:rPr>
                <w:rFonts w:ascii="Meiryo UI" w:eastAsia="Meiryo UI" w:hAnsi="Meiryo UI" w:cs="Meiryo UI" w:hint="eastAsia"/>
                <w:sz w:val="24"/>
                <w:szCs w:val="24"/>
              </w:rPr>
              <w:t>)</w:t>
            </w:r>
          </w:p>
        </w:tc>
      </w:tr>
      <w:tr w:rsidR="00E42DEE" w:rsidRPr="00AC0B99" w:rsidTr="00696567">
        <w:tc>
          <w:tcPr>
            <w:tcW w:w="3726" w:type="dxa"/>
            <w:shd w:val="clear" w:color="auto" w:fill="auto"/>
          </w:tcPr>
          <w:p w:rsidR="00E42DEE" w:rsidRPr="00AC0B99" w:rsidRDefault="00E42DEE" w:rsidP="00696567">
            <w:pPr>
              <w:rPr>
                <w:rFonts w:ascii="Meiryo UI" w:eastAsia="Meiryo UI" w:hAnsi="Meiryo UI" w:cs="Meiryo UI"/>
                <w:sz w:val="24"/>
                <w:szCs w:val="24"/>
              </w:rPr>
            </w:pPr>
            <w:r w:rsidRPr="00AC0B99">
              <w:rPr>
                <w:rFonts w:ascii="Meiryo UI" w:eastAsia="Meiryo UI" w:hAnsi="Meiryo UI" w:cs="Meiryo UI" w:hint="eastAsia"/>
                <w:sz w:val="24"/>
                <w:szCs w:val="24"/>
              </w:rPr>
              <w:t>郊外de活躍のまち・大阪事業</w:t>
            </w:r>
          </w:p>
          <w:p w:rsidR="00E42DEE" w:rsidRPr="00AC0B99" w:rsidRDefault="00E42DEE" w:rsidP="00696567">
            <w:pPr>
              <w:ind w:firstLineChars="100" w:firstLine="240"/>
              <w:rPr>
                <w:rFonts w:ascii="Meiryo UI" w:eastAsia="Meiryo UI" w:hAnsi="Meiryo UI" w:cs="Meiryo UI"/>
                <w:w w:val="80"/>
                <w:sz w:val="24"/>
                <w:szCs w:val="24"/>
              </w:rPr>
            </w:pPr>
            <w:r w:rsidRPr="00AC0B99">
              <w:rPr>
                <w:rFonts w:ascii="Meiryo UI" w:eastAsia="Meiryo UI" w:hAnsi="Meiryo UI" w:cs="Meiryo UI" w:hint="eastAsia"/>
                <w:noProof/>
                <w:sz w:val="24"/>
                <w:szCs w:val="24"/>
              </w:rPr>
              <mc:AlternateContent>
                <mc:Choice Requires="wps">
                  <w:drawing>
                    <wp:anchor distT="0" distB="0" distL="114300" distR="114300" simplePos="0" relativeHeight="251666432" behindDoc="0" locked="0" layoutInCell="1" allowOverlap="1" wp14:anchorId="0F587248" wp14:editId="4F24DE7D">
                      <wp:simplePos x="0" y="0"/>
                      <wp:positionH relativeFrom="column">
                        <wp:posOffset>25903</wp:posOffset>
                      </wp:positionH>
                      <wp:positionV relativeFrom="paragraph">
                        <wp:posOffset>11892</wp:posOffset>
                      </wp:positionV>
                      <wp:extent cx="2137410" cy="570016"/>
                      <wp:effectExtent l="0" t="0" r="15240" b="20955"/>
                      <wp:wrapNone/>
                      <wp:docPr id="4" name="大かっこ 4"/>
                      <wp:cNvGraphicFramePr/>
                      <a:graphic xmlns:a="http://schemas.openxmlformats.org/drawingml/2006/main">
                        <a:graphicData uri="http://schemas.microsoft.com/office/word/2010/wordprocessingShape">
                          <wps:wsp>
                            <wps:cNvSpPr/>
                            <wps:spPr>
                              <a:xfrm>
                                <a:off x="0" y="0"/>
                                <a:ext cx="2137410" cy="570016"/>
                              </a:xfrm>
                              <a:prstGeom prst="bracketPair">
                                <a:avLst>
                                  <a:gd name="adj" fmla="val 128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2.05pt;margin-top:.95pt;width:168.3pt;height:4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" adj="2769" strokecolor="black [3040]"/>
                  </w:pict>
                </mc:Fallback>
              </mc:AlternateContent>
            </w:r>
            <w:r w:rsidRPr="00AC0B99">
              <w:rPr>
                <w:rFonts w:ascii="Meiryo UI" w:eastAsia="Meiryo UI" w:hAnsi="Meiryo UI" w:cs="Meiryo UI" w:hint="eastAsia"/>
                <w:w w:val="80"/>
                <w:sz w:val="24"/>
                <w:szCs w:val="24"/>
              </w:rPr>
              <w:t>施設園芸新技術普及推進事業</w:t>
            </w:r>
          </w:p>
          <w:p w:rsidR="00E42DEE" w:rsidRPr="00AC0B99" w:rsidRDefault="00E42DEE" w:rsidP="00696567">
            <w:pPr>
              <w:ind w:firstLineChars="100" w:firstLine="158"/>
              <w:rPr>
                <w:rFonts w:ascii="Meiryo UI" w:eastAsia="Meiryo UI" w:hAnsi="Meiryo UI" w:cs="Meiryo UI"/>
                <w:w w:val="66"/>
                <w:sz w:val="24"/>
                <w:szCs w:val="24"/>
              </w:rPr>
            </w:pPr>
            <w:r w:rsidRPr="00AC0B99">
              <w:rPr>
                <w:rFonts w:ascii="Meiryo UI" w:eastAsia="Meiryo UI" w:hAnsi="Meiryo UI" w:cs="Meiryo UI" w:hint="eastAsia"/>
                <w:w w:val="66"/>
                <w:sz w:val="24"/>
                <w:szCs w:val="24"/>
              </w:rPr>
              <w:t>大阪産(もん)グローバルブランド化促進事業</w:t>
            </w:r>
          </w:p>
          <w:p w:rsidR="00E42DEE" w:rsidRPr="00AC0B99" w:rsidRDefault="00E42DEE" w:rsidP="00A1045B">
            <w:pPr>
              <w:rPr>
                <w:rFonts w:ascii="Meiryo UI" w:eastAsia="Meiryo UI" w:hAnsi="Meiryo UI" w:cs="Meiryo UI"/>
                <w:sz w:val="24"/>
                <w:szCs w:val="24"/>
              </w:rPr>
            </w:pPr>
            <w:r w:rsidRPr="00AC0B99">
              <w:rPr>
                <w:rFonts w:ascii="Meiryo UI" w:eastAsia="Meiryo UI" w:hAnsi="Meiryo UI" w:cs="Meiryo UI" w:hint="eastAsia"/>
                <w:sz w:val="24"/>
                <w:szCs w:val="24"/>
              </w:rPr>
              <w:t>＜28～30年度＞</w:t>
            </w:r>
            <w:r>
              <w:rPr>
                <w:rFonts w:ascii="Meiryo UI" w:eastAsia="Meiryo UI" w:hAnsi="Meiryo UI" w:cs="Meiryo UI" w:hint="eastAsia"/>
                <w:sz w:val="24"/>
                <w:szCs w:val="24"/>
              </w:rPr>
              <w:t xml:space="preserve">　</w:t>
            </w:r>
          </w:p>
        </w:tc>
        <w:tc>
          <w:tcPr>
            <w:tcW w:w="8363" w:type="dxa"/>
          </w:tcPr>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なすの小型パイプハウスで自動換気のモデル機の実証と改良を行い、品質・生産面の向上・省力化の新技術を確立。</w:t>
            </w:r>
          </w:p>
          <w:p w:rsidR="00E42DEE" w:rsidRPr="00AC0B99" w:rsidRDefault="00E42DEE" w:rsidP="00696567">
            <w:pPr>
              <w:ind w:left="240" w:hangingChars="100" w:hanging="240"/>
              <w:rPr>
                <w:rFonts w:ascii="Meiryo UI" w:eastAsia="Meiryo UI" w:hAnsi="Meiryo UI" w:cs="Meiryo UI"/>
                <w:sz w:val="24"/>
                <w:szCs w:val="24"/>
              </w:rPr>
            </w:pPr>
            <w:r w:rsidRPr="00AC0B99">
              <w:rPr>
                <w:rFonts w:ascii="Meiryo UI" w:eastAsia="Meiryo UI" w:hAnsi="Meiryo UI" w:cs="Meiryo UI" w:hint="eastAsia"/>
                <w:sz w:val="24"/>
                <w:szCs w:val="24"/>
              </w:rPr>
              <w:t>・　農林水産事業者と食品産業、飲食事業者等が連携し、大阪産（もん）のＰＲ・販路拡大等を促進することにより、グローバルブランド化を進める。</w:t>
            </w:r>
          </w:p>
        </w:tc>
        <w:tc>
          <w:tcPr>
            <w:tcW w:w="2551" w:type="dxa"/>
            <w:vAlign w:val="center"/>
          </w:tcPr>
          <w:p w:rsidR="00E42DEE" w:rsidRPr="00AC0B99" w:rsidRDefault="00E42DEE" w:rsidP="00696567">
            <w:pPr>
              <w:jc w:val="right"/>
              <w:rPr>
                <w:rFonts w:ascii="Meiryo UI" w:eastAsia="Meiryo UI" w:hAnsi="Meiryo UI" w:cs="Meiryo UI"/>
                <w:sz w:val="24"/>
                <w:szCs w:val="24"/>
              </w:rPr>
            </w:pPr>
            <w:r w:rsidRPr="00A16CDA">
              <w:rPr>
                <w:rFonts w:ascii="Meiryo UI" w:eastAsia="Meiryo UI" w:hAnsi="Meiryo UI" w:cs="Meiryo UI"/>
                <w:sz w:val="24"/>
                <w:szCs w:val="24"/>
              </w:rPr>
              <w:t>6,299</w:t>
            </w:r>
            <w:r>
              <w:rPr>
                <w:rFonts w:ascii="Meiryo UI" w:eastAsia="Meiryo UI" w:hAnsi="Meiryo UI" w:cs="Meiryo UI" w:hint="eastAsia"/>
                <w:sz w:val="24"/>
                <w:szCs w:val="24"/>
              </w:rPr>
              <w:t>(</w:t>
            </w:r>
            <w:r w:rsidRPr="00A16CDA">
              <w:rPr>
                <w:rFonts w:ascii="Meiryo UI" w:eastAsia="Meiryo UI" w:hAnsi="Meiryo UI" w:cs="Meiryo UI"/>
                <w:sz w:val="24"/>
                <w:szCs w:val="24"/>
              </w:rPr>
              <w:t>12,598</w:t>
            </w:r>
            <w:r>
              <w:rPr>
                <w:rFonts w:ascii="Meiryo UI" w:eastAsia="Meiryo UI" w:hAnsi="Meiryo UI" w:cs="Meiryo UI" w:hint="eastAsia"/>
                <w:sz w:val="24"/>
                <w:szCs w:val="24"/>
              </w:rPr>
              <w:t>)</w:t>
            </w:r>
          </w:p>
        </w:tc>
      </w:tr>
      <w:tr w:rsidR="00E42DEE" w:rsidRPr="00AC0B99" w:rsidTr="00696567">
        <w:tc>
          <w:tcPr>
            <w:tcW w:w="12089" w:type="dxa"/>
            <w:gridSpan w:val="2"/>
            <w:shd w:val="clear" w:color="auto" w:fill="auto"/>
            <w:vAlign w:val="center"/>
          </w:tcPr>
          <w:p w:rsidR="00E42DEE" w:rsidRPr="00AC0B99" w:rsidRDefault="00E42DEE" w:rsidP="00696567">
            <w:pPr>
              <w:ind w:firstLineChars="100" w:firstLine="240"/>
              <w:jc w:val="center"/>
              <w:rPr>
                <w:rFonts w:ascii="Meiryo UI" w:eastAsia="Meiryo UI" w:hAnsi="Meiryo UI" w:cs="Meiryo UI"/>
                <w:sz w:val="24"/>
                <w:szCs w:val="24"/>
              </w:rPr>
            </w:pPr>
            <w:r w:rsidRPr="00AC0B99">
              <w:rPr>
                <w:rFonts w:ascii="Meiryo UI" w:eastAsia="Meiryo UI" w:hAnsi="Meiryo UI" w:cs="Meiryo UI" w:hint="eastAsia"/>
                <w:b/>
                <w:sz w:val="24"/>
                <w:szCs w:val="24"/>
              </w:rPr>
              <w:t>【合計】</w:t>
            </w:r>
          </w:p>
        </w:tc>
        <w:tc>
          <w:tcPr>
            <w:tcW w:w="2551" w:type="dxa"/>
            <w:vAlign w:val="center"/>
          </w:tcPr>
          <w:p w:rsidR="00E42DEE" w:rsidRPr="00AC0B99" w:rsidRDefault="00E42DEE" w:rsidP="00696567">
            <w:pPr>
              <w:jc w:val="right"/>
              <w:rPr>
                <w:rFonts w:ascii="Meiryo UI" w:eastAsia="Meiryo UI" w:hAnsi="Meiryo UI" w:cs="Meiryo UI"/>
                <w:b/>
                <w:sz w:val="24"/>
                <w:szCs w:val="24"/>
              </w:rPr>
            </w:pPr>
            <w:r w:rsidRPr="00AC0B99">
              <w:rPr>
                <w:rFonts w:ascii="Meiryo UI" w:eastAsia="Meiryo UI" w:hAnsi="Meiryo UI" w:cs="Meiryo UI" w:hint="eastAsia"/>
                <w:b/>
                <w:sz w:val="24"/>
                <w:szCs w:val="24"/>
              </w:rPr>
              <w:t>1億</w:t>
            </w:r>
            <w:r>
              <w:rPr>
                <w:rFonts w:ascii="Meiryo UI" w:eastAsia="Meiryo UI" w:hAnsi="Meiryo UI" w:cs="Meiryo UI" w:hint="eastAsia"/>
                <w:b/>
                <w:sz w:val="24"/>
                <w:szCs w:val="24"/>
              </w:rPr>
              <w:t>4,973</w:t>
            </w:r>
            <w:r w:rsidRPr="00AC0B99">
              <w:rPr>
                <w:rFonts w:ascii="Meiryo UI" w:eastAsia="Meiryo UI" w:hAnsi="Meiryo UI" w:cs="Meiryo UI" w:hint="eastAsia"/>
                <w:b/>
                <w:sz w:val="24"/>
                <w:szCs w:val="24"/>
              </w:rPr>
              <w:t>万円</w:t>
            </w:r>
          </w:p>
          <w:p w:rsidR="00E42DEE" w:rsidRPr="00AC0B99" w:rsidRDefault="00E42DEE" w:rsidP="00696567">
            <w:pPr>
              <w:jc w:val="right"/>
              <w:rPr>
                <w:rFonts w:ascii="Meiryo UI" w:eastAsia="Meiryo UI" w:hAnsi="Meiryo UI" w:cs="Meiryo UI"/>
                <w:b/>
                <w:sz w:val="24"/>
                <w:szCs w:val="24"/>
              </w:rPr>
            </w:pPr>
            <w:r>
              <w:rPr>
                <w:rFonts w:ascii="Meiryo UI" w:eastAsia="Meiryo UI" w:hAnsi="Meiryo UI" w:cs="Meiryo UI" w:hint="eastAsia"/>
                <w:b/>
                <w:sz w:val="24"/>
                <w:szCs w:val="24"/>
              </w:rPr>
              <w:t>(2</w:t>
            </w:r>
            <w:r w:rsidRPr="00AC0B99">
              <w:rPr>
                <w:rFonts w:ascii="Meiryo UI" w:eastAsia="Meiryo UI" w:hAnsi="Meiryo UI" w:cs="Meiryo UI" w:hint="eastAsia"/>
                <w:b/>
                <w:sz w:val="24"/>
                <w:szCs w:val="24"/>
              </w:rPr>
              <w:t>億</w:t>
            </w:r>
            <w:r>
              <w:rPr>
                <w:rFonts w:ascii="Meiryo UI" w:eastAsia="Meiryo UI" w:hAnsi="Meiryo UI" w:cs="Meiryo UI" w:hint="eastAsia"/>
                <w:b/>
                <w:sz w:val="24"/>
                <w:szCs w:val="24"/>
              </w:rPr>
              <w:t>9,947</w:t>
            </w:r>
            <w:r w:rsidRPr="00AC0B99">
              <w:rPr>
                <w:rFonts w:ascii="Meiryo UI" w:eastAsia="Meiryo UI" w:hAnsi="Meiryo UI" w:cs="Meiryo UI" w:hint="eastAsia"/>
                <w:b/>
                <w:sz w:val="24"/>
                <w:szCs w:val="24"/>
              </w:rPr>
              <w:t>万円)</w:t>
            </w:r>
          </w:p>
        </w:tc>
      </w:tr>
    </w:tbl>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E42DEE" w:rsidRDefault="00E42DEE" w:rsidP="00AC0B99">
      <w:pPr>
        <w:widowControl/>
        <w:jc w:val="left"/>
        <w:rPr>
          <w:rFonts w:ascii="Meiryo UI" w:eastAsia="Meiryo UI" w:hAnsi="Meiryo UI" w:cs="Meiryo UI"/>
          <w:sz w:val="24"/>
          <w:szCs w:val="24"/>
        </w:rPr>
      </w:pPr>
    </w:p>
    <w:p w:rsidR="001B5730" w:rsidRPr="00AC0B99" w:rsidRDefault="001B5730" w:rsidP="005E52B7">
      <w:pPr>
        <w:rPr>
          <w:rFonts w:ascii="Meiryo UI" w:eastAsia="Meiryo UI" w:hAnsi="Meiryo UI" w:cs="Meiryo UI"/>
          <w:b/>
          <w:sz w:val="24"/>
          <w:szCs w:val="24"/>
          <w:bdr w:val="single" w:sz="4" w:space="0" w:color="auto"/>
        </w:rPr>
      </w:pPr>
    </w:p>
    <w:sectPr w:rsidR="001B5730" w:rsidRPr="00AC0B99" w:rsidSect="00AC0B99">
      <w:pgSz w:w="16839" w:h="23814" w:code="8"/>
      <w:pgMar w:top="1440" w:right="1077" w:bottom="1440" w:left="1077" w:header="851" w:footer="567" w:gutter="0"/>
      <w:pgNumType w:start="2"/>
      <w:cols w:space="425"/>
      <w:docGrid w:type="lines" w:linePitch="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96" w:rsidRDefault="00887396" w:rsidP="00A179AE">
      <w:r>
        <w:separator/>
      </w:r>
    </w:p>
  </w:endnote>
  <w:endnote w:type="continuationSeparator" w:id="0">
    <w:p w:rsidR="00887396" w:rsidRDefault="00887396" w:rsidP="00A1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96" w:rsidRDefault="00887396" w:rsidP="00A179AE">
      <w:r>
        <w:separator/>
      </w:r>
    </w:p>
  </w:footnote>
  <w:footnote w:type="continuationSeparator" w:id="0">
    <w:p w:rsidR="00887396" w:rsidRDefault="00887396" w:rsidP="00A17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2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74"/>
    <w:rsid w:val="0004523E"/>
    <w:rsid w:val="000465C0"/>
    <w:rsid w:val="0008074C"/>
    <w:rsid w:val="000953EE"/>
    <w:rsid w:val="000A54FB"/>
    <w:rsid w:val="000A7BB9"/>
    <w:rsid w:val="000A7DF7"/>
    <w:rsid w:val="000B0010"/>
    <w:rsid w:val="0010356D"/>
    <w:rsid w:val="00122C74"/>
    <w:rsid w:val="001455CF"/>
    <w:rsid w:val="001972E5"/>
    <w:rsid w:val="001B5730"/>
    <w:rsid w:val="001C4B43"/>
    <w:rsid w:val="001C5D9A"/>
    <w:rsid w:val="00237E1F"/>
    <w:rsid w:val="00244BDE"/>
    <w:rsid w:val="00254537"/>
    <w:rsid w:val="002638C5"/>
    <w:rsid w:val="00291B6B"/>
    <w:rsid w:val="00356F02"/>
    <w:rsid w:val="00384362"/>
    <w:rsid w:val="003C213B"/>
    <w:rsid w:val="003C6FF4"/>
    <w:rsid w:val="004146E5"/>
    <w:rsid w:val="00421DE0"/>
    <w:rsid w:val="00446C0E"/>
    <w:rsid w:val="00464FA4"/>
    <w:rsid w:val="004A685D"/>
    <w:rsid w:val="005C43CD"/>
    <w:rsid w:val="005D2269"/>
    <w:rsid w:val="005E52B7"/>
    <w:rsid w:val="005F132F"/>
    <w:rsid w:val="006023FB"/>
    <w:rsid w:val="00675568"/>
    <w:rsid w:val="00687180"/>
    <w:rsid w:val="00706B0E"/>
    <w:rsid w:val="0072062A"/>
    <w:rsid w:val="007540BD"/>
    <w:rsid w:val="0075707D"/>
    <w:rsid w:val="007B12DE"/>
    <w:rsid w:val="007B4AAA"/>
    <w:rsid w:val="007D277E"/>
    <w:rsid w:val="007F30E7"/>
    <w:rsid w:val="00834458"/>
    <w:rsid w:val="00887396"/>
    <w:rsid w:val="008A2549"/>
    <w:rsid w:val="008A31BA"/>
    <w:rsid w:val="008A5919"/>
    <w:rsid w:val="008A6281"/>
    <w:rsid w:val="00912789"/>
    <w:rsid w:val="00931898"/>
    <w:rsid w:val="009C439B"/>
    <w:rsid w:val="00A1045B"/>
    <w:rsid w:val="00A16CDA"/>
    <w:rsid w:val="00A179AE"/>
    <w:rsid w:val="00A4122F"/>
    <w:rsid w:val="00A8570C"/>
    <w:rsid w:val="00AC0B99"/>
    <w:rsid w:val="00AF27D9"/>
    <w:rsid w:val="00B05D5D"/>
    <w:rsid w:val="00B20DDD"/>
    <w:rsid w:val="00BA4B7B"/>
    <w:rsid w:val="00BC4877"/>
    <w:rsid w:val="00BE2E67"/>
    <w:rsid w:val="00C45469"/>
    <w:rsid w:val="00C51CF9"/>
    <w:rsid w:val="00C5252B"/>
    <w:rsid w:val="00C5456D"/>
    <w:rsid w:val="00C94760"/>
    <w:rsid w:val="00CB469D"/>
    <w:rsid w:val="00CE1B7B"/>
    <w:rsid w:val="00CF0AED"/>
    <w:rsid w:val="00D00B4F"/>
    <w:rsid w:val="00DC3BD7"/>
    <w:rsid w:val="00DD5320"/>
    <w:rsid w:val="00E42DEE"/>
    <w:rsid w:val="00E976AE"/>
    <w:rsid w:val="00EB0E8D"/>
    <w:rsid w:val="00EE079D"/>
    <w:rsid w:val="00EF0175"/>
    <w:rsid w:val="00EF5BAA"/>
    <w:rsid w:val="00F21D2E"/>
    <w:rsid w:val="00F30933"/>
    <w:rsid w:val="00F31E10"/>
    <w:rsid w:val="00F324A7"/>
    <w:rsid w:val="00F54278"/>
    <w:rsid w:val="00F6063E"/>
    <w:rsid w:val="00F676F7"/>
    <w:rsid w:val="00F703B0"/>
    <w:rsid w:val="00F83F26"/>
    <w:rsid w:val="00FB3577"/>
    <w:rsid w:val="00FC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C74"/>
    <w:pPr>
      <w:ind w:leftChars="400" w:left="840"/>
    </w:pPr>
  </w:style>
  <w:style w:type="paragraph" w:styleId="a5">
    <w:name w:val="Balloon Text"/>
    <w:basedOn w:val="a"/>
    <w:link w:val="a6"/>
    <w:uiPriority w:val="99"/>
    <w:semiHidden/>
    <w:unhideWhenUsed/>
    <w:rsid w:val="00BE2E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2E67"/>
    <w:rPr>
      <w:rFonts w:asciiTheme="majorHAnsi" w:eastAsiaTheme="majorEastAsia" w:hAnsiTheme="majorHAnsi" w:cstheme="majorBidi"/>
      <w:sz w:val="18"/>
      <w:szCs w:val="18"/>
    </w:rPr>
  </w:style>
  <w:style w:type="paragraph" w:styleId="a7">
    <w:name w:val="header"/>
    <w:basedOn w:val="a"/>
    <w:link w:val="a8"/>
    <w:uiPriority w:val="99"/>
    <w:unhideWhenUsed/>
    <w:rsid w:val="00A179AE"/>
    <w:pPr>
      <w:tabs>
        <w:tab w:val="center" w:pos="4252"/>
        <w:tab w:val="right" w:pos="8504"/>
      </w:tabs>
      <w:snapToGrid w:val="0"/>
    </w:pPr>
  </w:style>
  <w:style w:type="character" w:customStyle="1" w:styleId="a8">
    <w:name w:val="ヘッダー (文字)"/>
    <w:basedOn w:val="a0"/>
    <w:link w:val="a7"/>
    <w:uiPriority w:val="99"/>
    <w:rsid w:val="00A179AE"/>
  </w:style>
  <w:style w:type="paragraph" w:styleId="a9">
    <w:name w:val="footer"/>
    <w:basedOn w:val="a"/>
    <w:link w:val="aa"/>
    <w:uiPriority w:val="99"/>
    <w:unhideWhenUsed/>
    <w:rsid w:val="00A179AE"/>
    <w:pPr>
      <w:tabs>
        <w:tab w:val="center" w:pos="4252"/>
        <w:tab w:val="right" w:pos="8504"/>
      </w:tabs>
      <w:snapToGrid w:val="0"/>
    </w:pPr>
  </w:style>
  <w:style w:type="character" w:customStyle="1" w:styleId="aa">
    <w:name w:val="フッター (文字)"/>
    <w:basedOn w:val="a0"/>
    <w:link w:val="a9"/>
    <w:uiPriority w:val="99"/>
    <w:rsid w:val="00A17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106FA-1A71-4752-A613-77A0EECA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2017-03-23T04:23:00Z</cp:lastPrinted>
  <dcterms:created xsi:type="dcterms:W3CDTF">2017-08-14T01:04:00Z</dcterms:created>
  <dcterms:modified xsi:type="dcterms:W3CDTF">2017-09-06T02:12:00Z</dcterms:modified>
</cp:coreProperties>
</file>