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F4C5" w14:textId="77777777" w:rsidR="002D01EB" w:rsidRDefault="002D01EB" w:rsidP="00C057C8">
      <w:pPr>
        <w:widowControl/>
        <w:jc w:val="left"/>
        <w:rPr>
          <w:rFonts w:ascii="ＭＳ ゴシック" w:eastAsia="ＭＳ ゴシック" w:hAnsi="ＭＳ ゴシック"/>
          <w:bCs/>
          <w:sz w:val="36"/>
          <w:szCs w:val="36"/>
        </w:rPr>
      </w:pPr>
    </w:p>
    <w:p w14:paraId="58ED037B" w14:textId="77777777" w:rsidR="00D51885" w:rsidRDefault="00D51885" w:rsidP="002D01EB">
      <w:pPr>
        <w:spacing w:line="400" w:lineRule="exact"/>
        <w:jc w:val="left"/>
        <w:rPr>
          <w:rFonts w:ascii="ＭＳ ゴシック" w:eastAsia="ＭＳ ゴシック" w:hAnsi="ＭＳ ゴシック"/>
          <w:bCs/>
          <w:sz w:val="36"/>
          <w:szCs w:val="36"/>
        </w:rPr>
      </w:pPr>
    </w:p>
    <w:p w14:paraId="17AB5E54" w14:textId="77777777" w:rsidR="00D51885" w:rsidRDefault="00D51885" w:rsidP="002D01EB">
      <w:pPr>
        <w:spacing w:line="400" w:lineRule="exact"/>
        <w:jc w:val="left"/>
        <w:rPr>
          <w:rFonts w:ascii="ＭＳ ゴシック" w:eastAsia="ＭＳ ゴシック" w:hAnsi="ＭＳ ゴシック"/>
          <w:bCs/>
          <w:sz w:val="36"/>
          <w:szCs w:val="36"/>
        </w:rPr>
      </w:pPr>
    </w:p>
    <w:p w14:paraId="244E6B6C" w14:textId="77777777" w:rsidR="002D01EB" w:rsidRDefault="002D01EB" w:rsidP="002D01EB">
      <w:pPr>
        <w:spacing w:line="400" w:lineRule="exact"/>
        <w:jc w:val="left"/>
        <w:rPr>
          <w:rFonts w:ascii="ＭＳ ゴシック" w:eastAsia="ＭＳ ゴシック" w:hAnsi="ＭＳ ゴシック"/>
          <w:bCs/>
          <w:sz w:val="36"/>
          <w:szCs w:val="36"/>
        </w:rPr>
      </w:pPr>
    </w:p>
    <w:p w14:paraId="6F7BDCD5" w14:textId="77777777" w:rsidR="002D01EB" w:rsidRPr="00905A2D" w:rsidRDefault="00F61176" w:rsidP="00DA2968">
      <w:pPr>
        <w:spacing w:line="0" w:lineRule="atLeast"/>
        <w:jc w:val="center"/>
        <w:rPr>
          <w:rFonts w:asciiTheme="majorEastAsia" w:eastAsiaTheme="majorEastAsia" w:hAnsiTheme="majorEastAsia"/>
          <w:b/>
          <w:sz w:val="40"/>
          <w:szCs w:val="40"/>
        </w:rPr>
      </w:pPr>
      <w:r w:rsidRPr="00F61176">
        <w:rPr>
          <w:rFonts w:asciiTheme="majorEastAsia" w:eastAsiaTheme="majorEastAsia" w:hAnsiTheme="majorEastAsia" w:hint="eastAsia"/>
          <w:b/>
          <w:sz w:val="40"/>
          <w:szCs w:val="40"/>
        </w:rPr>
        <w:t>産廃特措法失効後の安全性の確保に向けた取組への財政支援について</w:t>
      </w:r>
    </w:p>
    <w:p w14:paraId="7DD3C5F8"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05EBF31"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0DD99DA2"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708119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3C4F885"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7EDB3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BAC78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2A0C78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6D122EF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6DA1E10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7641B13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1385A54" w14:textId="77777777" w:rsidR="002D01EB" w:rsidRDefault="002D01EB" w:rsidP="002D01EB">
      <w:pPr>
        <w:spacing w:line="400" w:lineRule="exact"/>
        <w:jc w:val="center"/>
        <w:rPr>
          <w:rFonts w:ascii="ＭＳ ゴシック" w:eastAsia="ＭＳ ゴシック" w:hAnsi="ＭＳ ゴシック"/>
          <w:b/>
          <w:sz w:val="40"/>
          <w:szCs w:val="40"/>
        </w:rPr>
      </w:pPr>
    </w:p>
    <w:p w14:paraId="79EE3023" w14:textId="77777777" w:rsidR="002D01EB" w:rsidRDefault="002D01EB" w:rsidP="002D01EB">
      <w:pPr>
        <w:spacing w:line="400" w:lineRule="exact"/>
        <w:jc w:val="center"/>
        <w:rPr>
          <w:rFonts w:ascii="ＭＳ ゴシック" w:eastAsia="ＭＳ ゴシック" w:hAnsi="ＭＳ ゴシック"/>
          <w:b/>
          <w:sz w:val="40"/>
          <w:szCs w:val="40"/>
        </w:rPr>
      </w:pPr>
    </w:p>
    <w:p w14:paraId="41B9B6EF" w14:textId="77777777" w:rsidR="002D01EB" w:rsidRDefault="002D01EB" w:rsidP="002D01EB">
      <w:pPr>
        <w:spacing w:line="400" w:lineRule="exact"/>
        <w:jc w:val="center"/>
        <w:rPr>
          <w:rFonts w:ascii="ＭＳ ゴシック" w:eastAsia="ＭＳ ゴシック" w:hAnsi="ＭＳ ゴシック"/>
          <w:b/>
          <w:sz w:val="40"/>
          <w:szCs w:val="40"/>
        </w:rPr>
      </w:pPr>
    </w:p>
    <w:p w14:paraId="0CABD15C" w14:textId="77777777" w:rsidR="002D01EB" w:rsidRDefault="002D01EB" w:rsidP="002D01EB">
      <w:pPr>
        <w:spacing w:line="400" w:lineRule="exact"/>
        <w:jc w:val="center"/>
        <w:rPr>
          <w:rFonts w:ascii="ＭＳ ゴシック" w:eastAsia="ＭＳ ゴシック" w:hAnsi="ＭＳ ゴシック"/>
          <w:b/>
          <w:sz w:val="40"/>
          <w:szCs w:val="40"/>
        </w:rPr>
      </w:pPr>
    </w:p>
    <w:p w14:paraId="368B646E" w14:textId="77777777" w:rsidR="002D01EB" w:rsidRDefault="002D01EB" w:rsidP="002D01EB">
      <w:pPr>
        <w:spacing w:line="400" w:lineRule="exact"/>
        <w:jc w:val="center"/>
        <w:rPr>
          <w:rFonts w:ascii="ＭＳ ゴシック" w:eastAsia="ＭＳ ゴシック" w:hAnsi="ＭＳ ゴシック"/>
          <w:b/>
          <w:sz w:val="40"/>
          <w:szCs w:val="40"/>
        </w:rPr>
      </w:pPr>
    </w:p>
    <w:p w14:paraId="1C9897A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4FF4E7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71711E4A" w14:textId="77777777" w:rsidR="002D01EB" w:rsidRDefault="002D01EB" w:rsidP="002D01EB">
      <w:pPr>
        <w:spacing w:line="400" w:lineRule="exact"/>
        <w:jc w:val="center"/>
        <w:rPr>
          <w:rFonts w:ascii="ＭＳ ゴシック" w:eastAsia="ＭＳ ゴシック" w:hAnsi="ＭＳ ゴシック"/>
          <w:b/>
          <w:sz w:val="40"/>
          <w:szCs w:val="40"/>
        </w:rPr>
      </w:pPr>
    </w:p>
    <w:p w14:paraId="1BA3E38A" w14:textId="77777777" w:rsidR="002D01EB" w:rsidRDefault="002D01EB" w:rsidP="002D01EB">
      <w:pPr>
        <w:spacing w:line="400" w:lineRule="exact"/>
        <w:jc w:val="center"/>
        <w:rPr>
          <w:rFonts w:ascii="ＭＳ ゴシック" w:eastAsia="ＭＳ ゴシック" w:hAnsi="ＭＳ ゴシック"/>
          <w:b/>
          <w:sz w:val="40"/>
          <w:szCs w:val="40"/>
        </w:rPr>
      </w:pPr>
    </w:p>
    <w:p w14:paraId="795CD2E9" w14:textId="77777777" w:rsidR="002D01EB" w:rsidRDefault="002D01EB" w:rsidP="002D01EB">
      <w:pPr>
        <w:spacing w:line="400" w:lineRule="exact"/>
        <w:jc w:val="center"/>
        <w:rPr>
          <w:rFonts w:ascii="ＭＳ ゴシック" w:eastAsia="ＭＳ ゴシック" w:hAnsi="ＭＳ ゴシック"/>
          <w:b/>
          <w:sz w:val="40"/>
          <w:szCs w:val="40"/>
        </w:rPr>
      </w:pPr>
    </w:p>
    <w:p w14:paraId="7914342B"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17225BD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1C29470E"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7697ADAA" w14:textId="77777777" w:rsidR="002D01EB" w:rsidRDefault="002D01EB" w:rsidP="002D01EB">
      <w:pPr>
        <w:spacing w:line="400" w:lineRule="exact"/>
        <w:jc w:val="center"/>
        <w:rPr>
          <w:rFonts w:ascii="ＭＳ ゴシック" w:eastAsia="ＭＳ ゴシック" w:hAnsi="ＭＳ ゴシック"/>
          <w:b/>
          <w:sz w:val="40"/>
          <w:szCs w:val="40"/>
        </w:rPr>
      </w:pPr>
    </w:p>
    <w:p w14:paraId="33EE3AD6"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5553E2C2" w14:textId="77777777"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Pr>
          <w:rFonts w:ascii="ＭＳ ゴシック" w:eastAsia="ＭＳ ゴシック" w:hAnsi="ＭＳ ゴシック"/>
          <w:b/>
          <w:sz w:val="40"/>
          <w:szCs w:val="40"/>
        </w:rPr>
        <w:t>1</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Pr>
          <w:rFonts w:ascii="ＭＳ ゴシック" w:eastAsia="ＭＳ ゴシック" w:hAnsi="ＭＳ ゴシック" w:hint="eastAsia"/>
          <w:b/>
          <w:sz w:val="40"/>
          <w:szCs w:val="40"/>
        </w:rPr>
        <w:t>６</w:t>
      </w:r>
      <w:r w:rsidR="002D01EB" w:rsidRPr="001869E3">
        <w:rPr>
          <w:rFonts w:ascii="ＭＳ ゴシック" w:eastAsia="ＭＳ ゴシック" w:hAnsi="ＭＳ ゴシック" w:hint="eastAsia"/>
          <w:b/>
          <w:sz w:val="40"/>
          <w:szCs w:val="40"/>
        </w:rPr>
        <w:t>月</w:t>
      </w:r>
    </w:p>
    <w:p w14:paraId="0E2EFD1A" w14:textId="77777777" w:rsidR="00D51885" w:rsidRDefault="00D51885" w:rsidP="003A38D9">
      <w:pPr>
        <w:spacing w:line="400" w:lineRule="exact"/>
        <w:jc w:val="left"/>
        <w:rPr>
          <w:rFonts w:asciiTheme="majorEastAsia" w:eastAsiaTheme="majorEastAsia" w:hAnsiTheme="majorEastAsia"/>
          <w:b/>
          <w:sz w:val="28"/>
        </w:rPr>
      </w:pPr>
    </w:p>
    <w:p w14:paraId="3BB09301" w14:textId="77777777" w:rsidR="00F25572" w:rsidRPr="00F25572" w:rsidRDefault="00F61176" w:rsidP="00F61176">
      <w:pPr>
        <w:spacing w:line="400" w:lineRule="exact"/>
        <w:jc w:val="center"/>
        <w:rPr>
          <w:rFonts w:asciiTheme="majorEastAsia" w:eastAsiaTheme="majorEastAsia" w:hAnsiTheme="majorEastAsia"/>
          <w:b/>
          <w:sz w:val="24"/>
        </w:rPr>
      </w:pPr>
      <w:r w:rsidRPr="00F61176">
        <w:rPr>
          <w:rFonts w:asciiTheme="majorEastAsia" w:eastAsiaTheme="majorEastAsia" w:hAnsiTheme="majorEastAsia" w:hint="eastAsia"/>
          <w:b/>
          <w:sz w:val="28"/>
        </w:rPr>
        <w:t>産廃特措法失効後の安全性の確保に向けた取組への財政支援について</w:t>
      </w:r>
    </w:p>
    <w:p w14:paraId="00046EED" w14:textId="77777777" w:rsidR="008837EC" w:rsidRDefault="008837EC" w:rsidP="008A3C7A">
      <w:pPr>
        <w:snapToGrid w:val="0"/>
        <w:spacing w:line="360" w:lineRule="exact"/>
        <w:ind w:firstLineChars="100" w:firstLine="241"/>
        <w:jc w:val="left"/>
        <w:rPr>
          <w:rFonts w:asciiTheme="minorEastAsia" w:eastAsiaTheme="minorEastAsia" w:hAnsiTheme="minorEastAsia"/>
          <w:sz w:val="24"/>
        </w:rPr>
      </w:pPr>
    </w:p>
    <w:p w14:paraId="45201A3E"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不適正に処分された産業廃棄物に起因する生活環境保全上の支障またはそのおそれの除去事業は、周辺住民の健康の保護、生活環境の保全はもとより、産業廃棄物処理に対する国民の不信感を払拭し、循環型社会の形成に資するものであり、環境政策における全国的かつ重要な課題として、国と地方公共団体が協力して取り組むべきものである。</w:t>
      </w:r>
    </w:p>
    <w:p w14:paraId="7B9B9370"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この観点から、平成10年６月17日より前に不適正な処分が行われた事案について、支障の除去等をできるだけ早期に完了させるため、平成15年に特定産業廃棄物に起因する支障の除去等に関する特別措置法（以下「産廃特措法」という。）が平成24年度末までの時限立法として制定され、平成24年の改正により期限が令和４年度末まで延長された。</w:t>
      </w:r>
    </w:p>
    <w:p w14:paraId="1A74325D"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都道府県等においては、産廃特措法に基づく基本方針に即した実施計画について、環境大臣の同意を得て、国の財政支援のもと支障除去等事業を計画的かつ着実に進めている。</w:t>
      </w:r>
    </w:p>
    <w:p w14:paraId="76BCEB3B"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一方で、廃棄物を残置する工法により事業を実施した場合には、事業の終了後も、残置される廃棄物が周辺地下水の汚染や悪臭の発生等の中長期的な潜在リスクを有するため、生活環境保全上の支障が再発しないよう、各事案の実情に応じた、地域住民の安全性の確保に向けた取組（モニタリングや水処理の継続、構造物の維持管理等）が不可欠であるが、産廃特措法が失効する令和５年度以降は、国の財政支援がなくなり、都道府県等の財政負担が大きくなる。</w:t>
      </w:r>
    </w:p>
    <w:p w14:paraId="48992148"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支障除去等事業の費用負担については、産業廃棄物が都道府県の区域を超えて広域的に処理されていることを踏まえ、公平性の観点から事業を実施する都道府県等が全額負担するのではなく、産廃特措法に基づき国による財政支援が行われている。支障除去等事業終了後の安全確保に向けた取組についても、公平性の観点から同様に国による財政支援がなされるべきである。</w:t>
      </w:r>
    </w:p>
    <w:p w14:paraId="359EA1E5"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また、平成24年の産廃特措法の改正に際しては、衆議院環境委員会で「特定支障除去等事業として全量撤去方式以外の支障の除去等を実施するに当たっては、その残置される特定産業廃棄物が中長期的な潜在リスクを有する可能性があることに鑑み、同事業の完了後に新たな生活環境保全上の支障が再発することのないよう、都道府県等による安全性の確保に向けた継続的なモニタリングの支援等必要な措置を講ずること」との附帯決議がなされているところであり、国においては、都道府県等のモニタリング等の取組を踏まえた財政支援制度について、早急に検討し示されたい。</w:t>
      </w:r>
    </w:p>
    <w:p w14:paraId="21B5A6C2" w14:textId="77777777" w:rsidR="002D01EB" w:rsidRPr="002D01EB"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ついては、次の事項について、特段の措置を講じられるよう提言する。</w:t>
      </w:r>
    </w:p>
    <w:p w14:paraId="50CB2EC7" w14:textId="77777777" w:rsidR="002D01EB" w:rsidRDefault="002D01EB" w:rsidP="002D01EB">
      <w:pPr>
        <w:snapToGrid w:val="0"/>
        <w:spacing w:line="360" w:lineRule="exact"/>
        <w:ind w:firstLineChars="100" w:firstLine="241"/>
        <w:jc w:val="left"/>
        <w:rPr>
          <w:rFonts w:asciiTheme="minorEastAsia" w:eastAsiaTheme="minorEastAsia" w:hAnsiTheme="minorEastAsia"/>
          <w:sz w:val="24"/>
        </w:rPr>
      </w:pPr>
    </w:p>
    <w:p w14:paraId="1DCE5B04" w14:textId="77777777" w:rsidR="00F61176" w:rsidRPr="002D01EB" w:rsidRDefault="00F61176" w:rsidP="002D01EB">
      <w:pPr>
        <w:snapToGrid w:val="0"/>
        <w:spacing w:line="360" w:lineRule="exact"/>
        <w:ind w:firstLineChars="100" w:firstLine="241"/>
        <w:jc w:val="left"/>
        <w:rPr>
          <w:rFonts w:asciiTheme="minorEastAsia" w:eastAsiaTheme="minorEastAsia" w:hAnsiTheme="minorEastAsia"/>
          <w:sz w:val="24"/>
        </w:rPr>
      </w:pPr>
    </w:p>
    <w:p w14:paraId="10867050" w14:textId="77777777" w:rsidR="002D01EB" w:rsidRPr="00F61176" w:rsidRDefault="00F61176" w:rsidP="00F61176">
      <w:pPr>
        <w:snapToGrid w:val="0"/>
        <w:spacing w:line="360" w:lineRule="exact"/>
        <w:ind w:leftChars="-1" w:left="-3" w:rightChars="43" w:right="138" w:firstLineChars="100" w:firstLine="241"/>
        <w:jc w:val="left"/>
        <w:rPr>
          <w:rFonts w:asciiTheme="majorEastAsia" w:eastAsiaTheme="majorEastAsia" w:hAnsiTheme="majorEastAsia"/>
          <w:sz w:val="24"/>
        </w:rPr>
      </w:pPr>
      <w:r w:rsidRPr="00F61176">
        <w:rPr>
          <w:rFonts w:asciiTheme="majorEastAsia" w:eastAsiaTheme="majorEastAsia" w:hAnsiTheme="majorEastAsia" w:hint="eastAsia"/>
          <w:sz w:val="24"/>
        </w:rPr>
        <w:lastRenderedPageBreak/>
        <w:t>産廃特措法に基づく特定支障除去等事業について、同法の失効後も引き続き必要となる「残置廃棄物の有する潜在リスクに対する安全性の確保」に向けた取組（モニタリングや水処理の継続、構造物の維持管理等）の費用について、財政支援制度を創設すること。</w:t>
      </w:r>
    </w:p>
    <w:p w14:paraId="108F67F6" w14:textId="77777777"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14:paraId="6893F300" w14:textId="77777777"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14:paraId="0EDE2E68" w14:textId="77777777"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令和３</w:t>
      </w:r>
      <w:r w:rsidR="00F25572" w:rsidRPr="00E80F0C">
        <w:rPr>
          <w:rFonts w:asciiTheme="minorEastAsia" w:eastAsiaTheme="minorEastAsia" w:hAnsiTheme="minorEastAsia" w:hint="eastAsia"/>
          <w:sz w:val="24"/>
        </w:rPr>
        <w:t>年</w:t>
      </w:r>
      <w:r>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月</w:t>
      </w:r>
    </w:p>
    <w:p w14:paraId="7CA6F25E"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2BACEEE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24558CA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鈴　木　英　敬</w:t>
      </w:r>
    </w:p>
    <w:p w14:paraId="0101A4C2"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371A61E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0A2A699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18223554"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井　戸　敏　三</w:t>
      </w:r>
    </w:p>
    <w:p w14:paraId="73649F12"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荒　井　正　吾</w:t>
      </w:r>
    </w:p>
    <w:p w14:paraId="7637614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仁　坂　吉　伸</w:t>
      </w:r>
    </w:p>
    <w:p w14:paraId="459C0F2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520B84" w:rsidRPr="00682785">
        <w:rPr>
          <w:rFonts w:asciiTheme="minorEastAsia" w:eastAsiaTheme="minorEastAsia" w:hAnsiTheme="minorEastAsia" w:hint="eastAsia"/>
          <w:sz w:val="24"/>
        </w:rPr>
        <w:t>平　井　伸　治</w:t>
      </w:r>
    </w:p>
    <w:p w14:paraId="0EFE18B9" w14:textId="77777777"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飯　泉　嘉　門　</w:t>
      </w:r>
    </w:p>
    <w:p w14:paraId="4507249C"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80F0C">
      <w:headerReference w:type="default" r:id="rId8"/>
      <w:pgSz w:w="11906" w:h="16838"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2C1D" w14:textId="77777777" w:rsidR="0008783B" w:rsidRDefault="0008783B">
      <w:r>
        <w:separator/>
      </w:r>
    </w:p>
  </w:endnote>
  <w:endnote w:type="continuationSeparator" w:id="0">
    <w:p w14:paraId="4B4883D6"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3F60" w14:textId="77777777" w:rsidR="0008783B" w:rsidRDefault="0008783B">
      <w:r>
        <w:separator/>
      </w:r>
    </w:p>
  </w:footnote>
  <w:footnote w:type="continuationSeparator" w:id="0">
    <w:p w14:paraId="30EA5AD1"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59A7"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859B1"/>
    <w:rsid w:val="004914C2"/>
    <w:rsid w:val="00492059"/>
    <w:rsid w:val="004A6EA0"/>
    <w:rsid w:val="004B67A4"/>
    <w:rsid w:val="004D04F0"/>
    <w:rsid w:val="004D473A"/>
    <w:rsid w:val="004E13DE"/>
    <w:rsid w:val="004E1E2D"/>
    <w:rsid w:val="004E2FE2"/>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8586F"/>
    <w:rsid w:val="00B928E4"/>
    <w:rsid w:val="00BA224C"/>
    <w:rsid w:val="00BA2A57"/>
    <w:rsid w:val="00BA40C7"/>
    <w:rsid w:val="00BB653C"/>
    <w:rsid w:val="00BC6A55"/>
    <w:rsid w:val="00BD5C6A"/>
    <w:rsid w:val="00BD7611"/>
    <w:rsid w:val="00BE28C0"/>
    <w:rsid w:val="00BE4614"/>
    <w:rsid w:val="00BF4505"/>
    <w:rsid w:val="00BF6035"/>
    <w:rsid w:val="00C00ED1"/>
    <w:rsid w:val="00C057C8"/>
    <w:rsid w:val="00C05B5E"/>
    <w:rsid w:val="00C35ECB"/>
    <w:rsid w:val="00C36694"/>
    <w:rsid w:val="00C40B67"/>
    <w:rsid w:val="00C52E26"/>
    <w:rsid w:val="00C55F74"/>
    <w:rsid w:val="00C60F6A"/>
    <w:rsid w:val="00C62038"/>
    <w:rsid w:val="00C676F9"/>
    <w:rsid w:val="00C85227"/>
    <w:rsid w:val="00C87FF5"/>
    <w:rsid w:val="00CA1AB7"/>
    <w:rsid w:val="00CA589D"/>
    <w:rsid w:val="00CB3DB2"/>
    <w:rsid w:val="00CC7A44"/>
    <w:rsid w:val="00CD3219"/>
    <w:rsid w:val="00CE7BCD"/>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3C72"/>
    <w:rsid w:val="00DF6CE0"/>
    <w:rsid w:val="00E01270"/>
    <w:rsid w:val="00E04096"/>
    <w:rsid w:val="00E06AAA"/>
    <w:rsid w:val="00E1077E"/>
    <w:rsid w:val="00E1396B"/>
    <w:rsid w:val="00E14AC1"/>
    <w:rsid w:val="00E17760"/>
    <w:rsid w:val="00E462E0"/>
    <w:rsid w:val="00E5267E"/>
    <w:rsid w:val="00E61C17"/>
    <w:rsid w:val="00E67B26"/>
    <w:rsid w:val="00E7101E"/>
    <w:rsid w:val="00E77A21"/>
    <w:rsid w:val="00E80F0C"/>
    <w:rsid w:val="00E816A3"/>
    <w:rsid w:val="00E94ADE"/>
    <w:rsid w:val="00E95AD5"/>
    <w:rsid w:val="00EA0CDF"/>
    <w:rsid w:val="00EA290A"/>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955E7F"/>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468A7-101A-4FC5-BFA0-AB9D432858B4}">
  <ds:schemaRefs>
    <ds:schemaRef ds:uri="http://schemas.openxmlformats.org/officeDocument/2006/bibliography"/>
  </ds:schemaRefs>
</ds:datastoreItem>
</file>

<file path=customXml/itemProps2.xml><?xml version="1.0" encoding="utf-8"?>
<ds:datastoreItem xmlns:ds="http://schemas.openxmlformats.org/officeDocument/2006/customXml" ds:itemID="{3932C450-D66B-4A6F-9919-9269A4675B60}"/>
</file>

<file path=customXml/itemProps3.xml><?xml version="1.0" encoding="utf-8"?>
<ds:datastoreItem xmlns:ds="http://schemas.openxmlformats.org/officeDocument/2006/customXml" ds:itemID="{65F36485-3E8C-43FE-B946-B2C4FA881AA5}"/>
</file>

<file path=customXml/itemProps4.xml><?xml version="1.0" encoding="utf-8"?>
<ds:datastoreItem xmlns:ds="http://schemas.openxmlformats.org/officeDocument/2006/customXml" ds:itemID="{E773703A-358D-4D33-B355-7642DF5F0952}"/>
</file>

<file path=docProps/app.xml><?xml version="1.0" encoding="utf-8"?>
<Properties xmlns="http://schemas.openxmlformats.org/officeDocument/2006/extended-properties" xmlns:vt="http://schemas.openxmlformats.org/officeDocument/2006/docPropsVTypes">
  <Template>Normal.dotm</Template>
  <TotalTime>48</TotalTime>
  <Pages>3</Pages>
  <Words>254</Words>
  <Characters>1453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藤田 智子</cp:lastModifiedBy>
  <cp:revision>21</cp:revision>
  <cp:lastPrinted>2021-06-07T10:04:00Z</cp:lastPrinted>
  <dcterms:created xsi:type="dcterms:W3CDTF">2019-11-05T05:37:00Z</dcterms:created>
  <dcterms:modified xsi:type="dcterms:W3CDTF">2021-06-08T06:18:00Z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