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2E98" w14:textId="77777777" w:rsidR="00F156AB" w:rsidRPr="00BF7386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14:paraId="1F295C01" w14:textId="77777777" w:rsidR="0063508F" w:rsidRPr="00BF7386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BF7386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14:paraId="10BB6397" w14:textId="77777777" w:rsidR="005149E9" w:rsidRPr="00BF7386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14:paraId="7FE8476E" w14:textId="77777777" w:rsidR="005149E9" w:rsidRPr="00BF7386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F7386" w:rsidRPr="00BF7386" w14:paraId="38259175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D095447" w14:textId="77777777"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F2F173" w14:textId="4B87F9EA" w:rsidR="005149E9" w:rsidRPr="00BF7386" w:rsidRDefault="00ED0F3D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36DEC">
              <w:rPr>
                <w:rFonts w:hAnsi="HG丸ｺﾞｼｯｸM-PRO" w:hint="eastAsia"/>
                <w:sz w:val="24"/>
                <w:szCs w:val="24"/>
              </w:rPr>
              <w:t>泉北NT再生の広域的視点からの今後の取り組みについて</w:t>
            </w:r>
          </w:p>
        </w:tc>
      </w:tr>
      <w:tr w:rsidR="00BF7386" w:rsidRPr="00BF7386" w14:paraId="52EB1A40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44A16B0" w14:textId="77777777"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95527F7" w14:textId="791FF784" w:rsidR="00AB5CEA" w:rsidRPr="00BF7386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F7386" w:rsidRPr="00BF7386" w14:paraId="746CD03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5AFC44" w14:textId="77777777"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D8C8F93" w14:textId="15A8B3C7" w:rsidR="005149E9" w:rsidRPr="00BF7386" w:rsidRDefault="00ED0F3D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オンライン会議</w:t>
            </w:r>
          </w:p>
        </w:tc>
      </w:tr>
      <w:tr w:rsidR="00BF7386" w:rsidRPr="00ED0F3D" w14:paraId="3013A547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0D7BE72F" w14:textId="77777777"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560A175" w14:textId="77777777" w:rsidR="0051210D" w:rsidRPr="00BF7386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14:paraId="471EE5DD" w14:textId="41424E7D" w:rsidR="0051210D" w:rsidRPr="00BF7386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  <w:r w:rsidR="00ED0F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、高瀬特別参与</w:t>
            </w:r>
          </w:p>
          <w:p w14:paraId="07651965" w14:textId="77777777" w:rsidR="0051210D" w:rsidRPr="00BF7386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06B4DA8C" w14:textId="77777777" w:rsidR="00732524" w:rsidRDefault="00CE7F39" w:rsidP="00EA30E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大阪府住宅まちづくり部副理事</w:t>
            </w:r>
          </w:p>
          <w:p w14:paraId="21861656" w14:textId="15980E6E" w:rsidR="00ED0F3D" w:rsidRPr="00BF7386" w:rsidRDefault="00ED0F3D" w:rsidP="00EA30E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スマートシティ戦略部</w:t>
            </w:r>
          </w:p>
        </w:tc>
      </w:tr>
      <w:tr w:rsidR="00BF7386" w:rsidRPr="00BF7386" w14:paraId="2D066D35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7CB86BEE" w14:textId="77777777" w:rsidR="005149E9" w:rsidRPr="00BF7386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F482028" w14:textId="54CACA1D" w:rsidR="005A6DFC" w:rsidRPr="00BF7386" w:rsidRDefault="007C71C0" w:rsidP="005B60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大阪府の泉北NT再生の取り組みの状況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確認と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意見交換</w:t>
            </w:r>
          </w:p>
        </w:tc>
      </w:tr>
      <w:tr w:rsidR="00BF7386" w:rsidRPr="00BF7386" w14:paraId="18CF17C4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6A985973" w14:textId="77777777" w:rsidR="00F61764" w:rsidRPr="00BF7386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5377E39" w14:textId="60D99F51" w:rsidR="00EC0DD0" w:rsidRDefault="00D25A98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○泉北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NT</w:t>
            </w:r>
            <w:r w:rsidR="00EC0D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の再生について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="00EC0D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再生指針や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泉ヶ丘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駅前地域活性化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ビジョン</w:t>
            </w:r>
            <w:r w:rsidR="00EC0D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などの方針を踏まえ、各プロジェクトを着実に実行していくための進捗管理が重要。</w:t>
            </w:r>
          </w:p>
          <w:p w14:paraId="2B639313" w14:textId="77777777" w:rsidR="00EC0DD0" w:rsidRPr="00EC0DD0" w:rsidRDefault="00EC0DD0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44CD735A" w14:textId="27D33696" w:rsidR="00127C4E" w:rsidRPr="00BF7386" w:rsidRDefault="00EC0DD0" w:rsidP="00B300E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○一方で、テクノロジーの進化により従前は難しかった課題解決のツールが</w:t>
            </w:r>
            <w:r w:rsidR="00B300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増えている。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府のスマートシティ戦略においても、泉北NTは重点フィールドでもあり、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スマートシティの視点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も含め</w:t>
            </w:r>
            <w:r w:rsidR="00291A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</w:t>
            </w:r>
            <w:r w:rsidR="00B300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と堺</w:t>
            </w:r>
            <w:r w:rsidR="004C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B300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D25A98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連携しながら</w:t>
            </w:r>
            <w:r w:rsidR="00B300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計画を実現していくための具体的な</w:t>
            </w:r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取り組みを</w:t>
            </w:r>
            <w:r w:rsidR="00B300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進めては</w:t>
            </w:r>
            <w:bookmarkStart w:id="0" w:name="_GoBack"/>
            <w:bookmarkEnd w:id="0"/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</w:t>
            </w:r>
            <w:r w:rsidR="00D25A98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F7386" w:rsidRPr="00BF7386" w14:paraId="6742B7A9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5BCF8C66" w14:textId="77777777"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444A08DC" w14:textId="77777777" w:rsidR="00435D1A" w:rsidRPr="00BF7386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3B3663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BF7386" w:rsidRPr="00BF7386" w14:paraId="5EFB6EB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058CC323" w14:textId="77777777"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26C90B" w14:textId="77777777" w:rsidR="00435D1A" w:rsidRPr="00BF7386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BF7386" w:rsidRPr="00BF7386" w14:paraId="684F981D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6ED3DD90" w14:textId="77777777"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0E7D127" w14:textId="77777777" w:rsidR="00435D1A" w:rsidRPr="00BF7386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BF7386" w14:paraId="01C18763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08B6D4C" w14:textId="77777777"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0FECD182" w14:textId="77777777"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B2E13FD" w14:textId="442304B8" w:rsidR="00435D1A" w:rsidRPr="00BF7386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8739676" w14:textId="77777777" w:rsidR="00C8767A" w:rsidRPr="00BF7386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BF738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7A65" w14:textId="77777777" w:rsidR="00C52F54" w:rsidRDefault="00C52F54" w:rsidP="00394441">
      <w:r>
        <w:separator/>
      </w:r>
    </w:p>
  </w:endnote>
  <w:endnote w:type="continuationSeparator" w:id="0">
    <w:p w14:paraId="2985D6D8" w14:textId="77777777" w:rsidR="00C52F54" w:rsidRDefault="00C52F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8F52" w14:textId="77777777" w:rsidR="004E4289" w:rsidRDefault="004E4289">
    <w:pPr>
      <w:pStyle w:val="a6"/>
      <w:jc w:val="center"/>
    </w:pPr>
  </w:p>
  <w:p w14:paraId="74891414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1E9E5" w14:textId="77777777" w:rsidR="00C52F54" w:rsidRDefault="00C52F54" w:rsidP="00394441">
      <w:r>
        <w:separator/>
      </w:r>
    </w:p>
  </w:footnote>
  <w:footnote w:type="continuationSeparator" w:id="0">
    <w:p w14:paraId="40327093" w14:textId="77777777" w:rsidR="00C52F54" w:rsidRDefault="00C52F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157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3418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37D0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A0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B46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663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00D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83B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34A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6DFC"/>
    <w:rsid w:val="005A73E4"/>
    <w:rsid w:val="005A7DFC"/>
    <w:rsid w:val="005B2193"/>
    <w:rsid w:val="005B25C1"/>
    <w:rsid w:val="005B3212"/>
    <w:rsid w:val="005B4164"/>
    <w:rsid w:val="005B5C7F"/>
    <w:rsid w:val="005B60F9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24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0BE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0E9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967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BF7386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2F54"/>
    <w:rsid w:val="00C53965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47E5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F39"/>
    <w:rsid w:val="00CF089D"/>
    <w:rsid w:val="00CF1DD8"/>
    <w:rsid w:val="00CF2542"/>
    <w:rsid w:val="00CF2D09"/>
    <w:rsid w:val="00CF3732"/>
    <w:rsid w:val="00CF472C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58F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A9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7A3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247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00D5"/>
    <w:rsid w:val="00EA05C5"/>
    <w:rsid w:val="00EA30E7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0DD0"/>
    <w:rsid w:val="00EC30C5"/>
    <w:rsid w:val="00EC37BA"/>
    <w:rsid w:val="00EC4058"/>
    <w:rsid w:val="00EC4125"/>
    <w:rsid w:val="00EC4FBD"/>
    <w:rsid w:val="00EC6A94"/>
    <w:rsid w:val="00ED0F3D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DF4BE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29C1-B71F-455A-AADC-2D6E0A20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三崎信顕</dc:creator>
  <cp:lastModifiedBy>狩野　俊明</cp:lastModifiedBy>
  <cp:revision>2</cp:revision>
  <cp:lastPrinted>2020-03-30T04:30:00Z</cp:lastPrinted>
  <dcterms:created xsi:type="dcterms:W3CDTF">2020-04-15T07:33:00Z</dcterms:created>
  <dcterms:modified xsi:type="dcterms:W3CDTF">2020-04-15T07:33:00Z</dcterms:modified>
</cp:coreProperties>
</file>