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F464" w14:textId="77777777" w:rsidR="00600326" w:rsidRDefault="005853B5" w:rsidP="00E0671D">
      <w:pPr>
        <w:jc w:val="center"/>
        <w:rPr>
          <w:rFonts w:ascii="Meiryo UI" w:eastAsia="Meiryo UI" w:hAnsi="Meiryo UI" w:cs="Meiryo UI"/>
          <w:sz w:val="40"/>
          <w:bdr w:val="single" w:sz="4" w:space="0" w:color="auto"/>
        </w:rPr>
      </w:pPr>
      <w:r w:rsidRPr="00E2244D">
        <w:rPr>
          <w:noProof/>
        </w:rPr>
        <mc:AlternateContent>
          <mc:Choice Requires="wps">
            <w:drawing>
              <wp:anchor distT="0" distB="0" distL="114300" distR="114300" simplePos="0" relativeHeight="251658752" behindDoc="0" locked="0" layoutInCell="1" allowOverlap="1" wp14:anchorId="7EA47553" wp14:editId="0635FED8">
                <wp:simplePos x="0" y="0"/>
                <wp:positionH relativeFrom="margin">
                  <wp:posOffset>8153400</wp:posOffset>
                </wp:positionH>
                <wp:positionV relativeFrom="paragraph">
                  <wp:posOffset>-245110</wp:posOffset>
                </wp:positionV>
                <wp:extent cx="1000125" cy="419100"/>
                <wp:effectExtent l="0" t="0" r="28575" b="19050"/>
                <wp:wrapNone/>
                <wp:docPr id="8" name="正方形/長方形 5"/>
                <wp:cNvGraphicFramePr/>
                <a:graphic xmlns:a="http://schemas.openxmlformats.org/drawingml/2006/main">
                  <a:graphicData uri="http://schemas.microsoft.com/office/word/2010/wordprocessingShape">
                    <wps:wsp>
                      <wps:cNvSpPr/>
                      <wps:spPr>
                        <a:xfrm>
                          <a:off x="0" y="0"/>
                          <a:ext cx="1000125" cy="419100"/>
                        </a:xfrm>
                        <a:prstGeom prst="rect">
                          <a:avLst/>
                        </a:prstGeom>
                        <a:noFill/>
                        <a:ln w="9525" cap="flat" cmpd="sng" algn="ctr">
                          <a:solidFill>
                            <a:srgbClr val="4F81BD">
                              <a:shade val="50000"/>
                            </a:srgbClr>
                          </a:solidFill>
                          <a:prstDash val="solid"/>
                        </a:ln>
                        <a:effectLst/>
                      </wps:spPr>
                      <wps:txbx>
                        <w:txbxContent>
                          <w:p w14:paraId="61C237EE" w14:textId="77777777" w:rsidR="005853B5" w:rsidRPr="00E2244D" w:rsidRDefault="005853B5" w:rsidP="005853B5">
                            <w:pPr>
                              <w:pStyle w:val="Web"/>
                              <w:snapToGrid w:val="0"/>
                              <w:spacing w:before="0" w:beforeAutospacing="0" w:after="0" w:afterAutospacing="0"/>
                              <w:jc w:val="center"/>
                            </w:pPr>
                            <w:r>
                              <w:rPr>
                                <w:rFonts w:cstheme="minorBidi" w:hint="eastAsia"/>
                                <w:color w:val="000000" w:themeColor="text1"/>
                                <w:sz w:val="36"/>
                                <w:szCs w:val="36"/>
                              </w:rPr>
                              <w:t>資料５</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47553" id="正方形/長方形 5" o:spid="_x0000_s1026" style="position:absolute;left:0;text-align:left;margin-left:642pt;margin-top:-19.3pt;width:78.75pt;height:3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" filled="f" strokecolor="#385d8a">
                <v:textbox>
                  <w:txbxContent>
                    <w:p w14:paraId="61C237EE" w14:textId="77777777" w:rsidR="005853B5" w:rsidRPr="00E2244D" w:rsidRDefault="005853B5" w:rsidP="005853B5">
                      <w:pPr>
                        <w:pStyle w:val="Web"/>
                        <w:snapToGrid w:val="0"/>
                        <w:spacing w:before="0" w:beforeAutospacing="0" w:after="0" w:afterAutospacing="0"/>
                        <w:jc w:val="center"/>
                      </w:pPr>
                      <w:r>
                        <w:rPr>
                          <w:rFonts w:cstheme="minorBidi" w:hint="eastAsia"/>
                          <w:color w:val="000000" w:themeColor="text1"/>
                          <w:sz w:val="36"/>
                          <w:szCs w:val="36"/>
                        </w:rPr>
                        <w:t>資料５</w:t>
                      </w:r>
                    </w:p>
                  </w:txbxContent>
                </v:textbox>
                <w10:wrap anchorx="margin"/>
              </v:rect>
            </w:pict>
          </mc:Fallback>
        </mc:AlternateContent>
      </w:r>
      <w:r w:rsidR="00306077">
        <w:rPr>
          <w:rFonts w:ascii="Meiryo UI" w:eastAsia="Meiryo UI" w:hAnsi="Meiryo UI" w:cs="Meiryo UI" w:hint="eastAsia"/>
          <w:sz w:val="40"/>
          <w:bdr w:val="single" w:sz="4" w:space="0" w:color="auto"/>
        </w:rPr>
        <w:t xml:space="preserve">　</w:t>
      </w:r>
      <w:r w:rsidR="0057224A" w:rsidRPr="0057224A">
        <w:rPr>
          <w:rFonts w:ascii="Meiryo UI" w:eastAsia="Meiryo UI" w:hAnsi="Meiryo UI" w:cs="Meiryo UI" w:hint="eastAsia"/>
          <w:sz w:val="40"/>
          <w:bdr w:val="single" w:sz="4" w:space="0" w:color="auto"/>
        </w:rPr>
        <w:t>「大阪府財政運営基本条例」に基づく公表</w:t>
      </w:r>
      <w:r w:rsidR="00306077">
        <w:rPr>
          <w:rFonts w:ascii="Meiryo UI" w:eastAsia="Meiryo UI" w:hAnsi="Meiryo UI" w:cs="Meiryo UI" w:hint="eastAsia"/>
          <w:sz w:val="40"/>
          <w:bdr w:val="single" w:sz="4" w:space="0" w:color="auto"/>
        </w:rPr>
        <w:t xml:space="preserve">　</w:t>
      </w:r>
    </w:p>
    <w:p w14:paraId="077D6BEF" w14:textId="77777777" w:rsidR="0057224A" w:rsidRPr="00F67A1B" w:rsidRDefault="0057224A">
      <w:pPr>
        <w:rPr>
          <w:rFonts w:ascii="Meiryo UI" w:eastAsia="Meiryo UI" w:hAnsi="Meiryo UI" w:cs="Meiryo UI"/>
          <w:sz w:val="32"/>
          <w:szCs w:val="36"/>
        </w:rPr>
      </w:pPr>
      <w:r w:rsidRPr="00F67A1B">
        <w:rPr>
          <w:rFonts w:ascii="Meiryo UI" w:eastAsia="Meiryo UI" w:hAnsi="Meiryo UI" w:cs="Meiryo UI" w:hint="eastAsia"/>
          <w:sz w:val="32"/>
          <w:szCs w:val="36"/>
        </w:rPr>
        <w:t>１　財政リスクの点検</w:t>
      </w:r>
      <w:r w:rsidR="00E0671D" w:rsidRPr="00F67A1B">
        <w:rPr>
          <w:rFonts w:ascii="Meiryo UI" w:eastAsia="Meiryo UI" w:hAnsi="Meiryo UI" w:cs="Meiryo UI" w:hint="eastAsia"/>
          <w:sz w:val="32"/>
          <w:szCs w:val="36"/>
        </w:rPr>
        <w:t>（新規事業）</w:t>
      </w:r>
    </w:p>
    <w:p w14:paraId="71A26DDD" w14:textId="77777777" w:rsidR="00434D97" w:rsidRDefault="00434D97">
      <w:pPr>
        <w:rPr>
          <w:rFonts w:ascii="Meiryo UI" w:eastAsia="Meiryo UI" w:hAnsi="Meiryo UI" w:cs="Meiryo UI"/>
          <w:sz w:val="40"/>
        </w:rPr>
      </w:pPr>
      <w:r>
        <w:rPr>
          <w:rFonts w:ascii="Meiryo UI" w:eastAsia="Meiryo UI" w:hAnsi="Meiryo UI" w:cs="Meiryo UI" w:hint="eastAsia"/>
          <w:noProof/>
          <w:sz w:val="40"/>
        </w:rPr>
        <mc:AlternateContent>
          <mc:Choice Requires="wps">
            <w:drawing>
              <wp:anchor distT="0" distB="0" distL="114300" distR="114300" simplePos="0" relativeHeight="251660288" behindDoc="0" locked="0" layoutInCell="1" allowOverlap="1" wp14:anchorId="607E6A86" wp14:editId="0E60FEFA">
                <wp:simplePos x="0" y="0"/>
                <wp:positionH relativeFrom="column">
                  <wp:posOffset>390525</wp:posOffset>
                </wp:positionH>
                <wp:positionV relativeFrom="paragraph">
                  <wp:posOffset>40005</wp:posOffset>
                </wp:positionV>
                <wp:extent cx="8515350" cy="104400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8515350" cy="104400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410C1A" w14:textId="7D6F0AB0" w:rsidR="00F5624A" w:rsidRDefault="00F5624A"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w:t>
                            </w:r>
                            <w:r>
                              <w:rPr>
                                <w:rFonts w:ascii="Meiryo UI" w:eastAsia="Meiryo UI" w:hAnsi="Meiryo UI" w:cs="Meiryo UI" w:hint="eastAsia"/>
                                <w:color w:val="000000" w:themeColor="text1"/>
                                <w:sz w:val="20"/>
                              </w:rPr>
                              <w:t>事業に伴う損失の防止</w:t>
                            </w:r>
                            <w:r w:rsidRPr="00F67A1B">
                              <w:rPr>
                                <w:rFonts w:ascii="Meiryo UI" w:eastAsia="Meiryo UI" w:hAnsi="Meiryo UI" w:cs="Meiryo UI" w:hint="eastAsia"/>
                                <w:color w:val="000000" w:themeColor="text1"/>
                                <w:sz w:val="20"/>
                              </w:rPr>
                              <w:t>）</w:t>
                            </w:r>
                          </w:p>
                          <w:p w14:paraId="5F81DAF3" w14:textId="67F48938" w:rsidR="00434D97" w:rsidRPr="00F67A1B" w:rsidRDefault="00434D97"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第９条　府は、新たに事業を実施しようとするときは、これに伴う財政リスク</w:t>
                            </w:r>
                            <w:r w:rsidR="00212769" w:rsidRPr="00F67A1B">
                              <w:rPr>
                                <w:rFonts w:ascii="Meiryo UI" w:eastAsia="Meiryo UI" w:hAnsi="Meiryo UI" w:cs="Meiryo UI" w:hint="eastAsia"/>
                                <w:color w:val="000000" w:themeColor="text1"/>
                                <w:sz w:val="20"/>
                              </w:rPr>
                              <w:t>（※）</w:t>
                            </w:r>
                            <w:r w:rsidRPr="00F67A1B">
                              <w:rPr>
                                <w:rFonts w:ascii="Meiryo UI" w:eastAsia="Meiryo UI" w:hAnsi="Meiryo UI" w:cs="Meiryo UI" w:hint="eastAsia"/>
                                <w:color w:val="000000" w:themeColor="text1"/>
                                <w:sz w:val="20"/>
                              </w:rPr>
                              <w:t>の把握に努めるとともに、予算編成の過程において、当該財政リスクの内容を明らかにするものとする。</w:t>
                            </w:r>
                          </w:p>
                          <w:p w14:paraId="13B9834F" w14:textId="77777777" w:rsidR="00212769" w:rsidRPr="00F67A1B" w:rsidRDefault="00212769"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※「財政運営に著しい影響を及ぼす危険又はその危険を有する事象」（第２条）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6A86" id="正方形/長方形 2" o:spid="_x0000_s1027" style="position:absolute;left:0;text-align:left;margin-left:30.75pt;margin-top:3.15pt;width:670.5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" filled="f" strokecolor="black [3213]" strokeweight="1pt">
                <v:stroke dashstyle="3 1"/>
                <v:textbox>
                  <w:txbxContent>
                    <w:p w14:paraId="2B410C1A" w14:textId="7D6F0AB0" w:rsidR="00F5624A" w:rsidRDefault="00F5624A"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w:t>
                      </w:r>
                      <w:r>
                        <w:rPr>
                          <w:rFonts w:ascii="Meiryo UI" w:eastAsia="Meiryo UI" w:hAnsi="Meiryo UI" w:cs="Meiryo UI" w:hint="eastAsia"/>
                          <w:color w:val="000000" w:themeColor="text1"/>
                          <w:sz w:val="20"/>
                        </w:rPr>
                        <w:t>事業に伴う損失の防止</w:t>
                      </w:r>
                      <w:r w:rsidRPr="00F67A1B">
                        <w:rPr>
                          <w:rFonts w:ascii="Meiryo UI" w:eastAsia="Meiryo UI" w:hAnsi="Meiryo UI" w:cs="Meiryo UI" w:hint="eastAsia"/>
                          <w:color w:val="000000" w:themeColor="text1"/>
                          <w:sz w:val="20"/>
                        </w:rPr>
                        <w:t>）</w:t>
                      </w:r>
                    </w:p>
                    <w:p w14:paraId="5F81DAF3" w14:textId="67F48938" w:rsidR="00434D97" w:rsidRPr="00F67A1B" w:rsidRDefault="00434D97"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第９条　府は、新たに事業を実施しようとするときは、これに伴う財政リスク</w:t>
                      </w:r>
                      <w:r w:rsidR="00212769" w:rsidRPr="00F67A1B">
                        <w:rPr>
                          <w:rFonts w:ascii="Meiryo UI" w:eastAsia="Meiryo UI" w:hAnsi="Meiryo UI" w:cs="Meiryo UI" w:hint="eastAsia"/>
                          <w:color w:val="000000" w:themeColor="text1"/>
                          <w:sz w:val="20"/>
                        </w:rPr>
                        <w:t>（※）</w:t>
                      </w:r>
                      <w:r w:rsidRPr="00F67A1B">
                        <w:rPr>
                          <w:rFonts w:ascii="Meiryo UI" w:eastAsia="Meiryo UI" w:hAnsi="Meiryo UI" w:cs="Meiryo UI" w:hint="eastAsia"/>
                          <w:color w:val="000000" w:themeColor="text1"/>
                          <w:sz w:val="20"/>
                        </w:rPr>
                        <w:t>の把握に努めるとともに、予算編成の過程において、当該財政リスクの内容を明らかにするものとする。</w:t>
                      </w:r>
                    </w:p>
                    <w:p w14:paraId="13B9834F" w14:textId="77777777" w:rsidR="00212769" w:rsidRPr="00F67A1B" w:rsidRDefault="00212769"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※「財政運営に著しい影響を及ぼす危険又はその危険を有する事象」（第２条）</w:t>
                      </w:r>
                    </w:p>
                  </w:txbxContent>
                </v:textbox>
              </v:rect>
            </w:pict>
          </mc:Fallback>
        </mc:AlternateContent>
      </w:r>
    </w:p>
    <w:p w14:paraId="7F5DA068" w14:textId="77777777" w:rsidR="0019435A" w:rsidRPr="00306077" w:rsidRDefault="0019435A" w:rsidP="00E0671D">
      <w:pPr>
        <w:rPr>
          <w:rFonts w:ascii="Meiryo UI" w:eastAsia="Meiryo UI" w:hAnsi="Meiryo UI" w:cs="Meiryo UI"/>
          <w:sz w:val="16"/>
          <w:szCs w:val="16"/>
        </w:rPr>
      </w:pPr>
    </w:p>
    <w:p w14:paraId="45DFAFFD" w14:textId="77777777" w:rsidR="00306077" w:rsidRPr="00306077" w:rsidRDefault="00306077" w:rsidP="00E0671D">
      <w:pPr>
        <w:rPr>
          <w:rFonts w:ascii="Meiryo UI" w:eastAsia="Meiryo UI" w:hAnsi="Meiryo UI" w:cs="Meiryo UI"/>
          <w:sz w:val="16"/>
          <w:szCs w:val="16"/>
        </w:rPr>
      </w:pPr>
    </w:p>
    <w:p w14:paraId="39D8575D" w14:textId="77777777" w:rsidR="00F5624A" w:rsidRDefault="00F5624A">
      <w:pPr>
        <w:rPr>
          <w:rFonts w:ascii="Meiryo UI" w:eastAsia="Meiryo UI" w:hAnsi="Meiryo UI" w:cs="Meiryo UI"/>
          <w:sz w:val="32"/>
          <w:szCs w:val="36"/>
        </w:rPr>
      </w:pPr>
    </w:p>
    <w:p w14:paraId="316F60A4" w14:textId="27F9EBD0" w:rsidR="0057224A" w:rsidRPr="00F67A1B" w:rsidRDefault="00F67A1B">
      <w:pPr>
        <w:rPr>
          <w:rFonts w:ascii="Meiryo UI" w:eastAsia="Meiryo UI" w:hAnsi="Meiryo UI" w:cs="Meiryo UI"/>
          <w:sz w:val="32"/>
          <w:szCs w:val="36"/>
        </w:rPr>
      </w:pPr>
      <w:r w:rsidRPr="00F67A1B">
        <w:rPr>
          <w:rFonts w:ascii="Meiryo UI" w:eastAsia="Meiryo UI" w:hAnsi="Meiryo UI" w:cs="Meiryo UI" w:hint="eastAsia"/>
          <w:sz w:val="32"/>
          <w:szCs w:val="36"/>
        </w:rPr>
        <w:t>２</w:t>
      </w:r>
      <w:r w:rsidR="0057224A" w:rsidRPr="00F67A1B">
        <w:rPr>
          <w:rFonts w:ascii="Meiryo UI" w:eastAsia="Meiryo UI" w:hAnsi="Meiryo UI" w:cs="Meiryo UI" w:hint="eastAsia"/>
          <w:sz w:val="32"/>
          <w:szCs w:val="36"/>
        </w:rPr>
        <w:t xml:space="preserve">　損失補償・債務保証の点検</w:t>
      </w:r>
    </w:p>
    <w:p w14:paraId="18DB445B" w14:textId="77777777" w:rsidR="0057224A" w:rsidRDefault="00434D97">
      <w:pPr>
        <w:rPr>
          <w:rFonts w:ascii="Meiryo UI" w:eastAsia="Meiryo UI" w:hAnsi="Meiryo UI" w:cs="Meiryo UI"/>
          <w:sz w:val="40"/>
        </w:rPr>
      </w:pPr>
      <w:r>
        <w:rPr>
          <w:rFonts w:ascii="Meiryo UI" w:eastAsia="Meiryo UI" w:hAnsi="Meiryo UI" w:cs="Meiryo UI" w:hint="eastAsia"/>
          <w:noProof/>
          <w:sz w:val="40"/>
        </w:rPr>
        <mc:AlternateContent>
          <mc:Choice Requires="wps">
            <w:drawing>
              <wp:anchor distT="0" distB="0" distL="114300" distR="114300" simplePos="0" relativeHeight="251664384" behindDoc="0" locked="0" layoutInCell="1" allowOverlap="1" wp14:anchorId="0BB9D8C5" wp14:editId="73BDB5AF">
                <wp:simplePos x="0" y="0"/>
                <wp:positionH relativeFrom="column">
                  <wp:posOffset>390525</wp:posOffset>
                </wp:positionH>
                <wp:positionV relativeFrom="paragraph">
                  <wp:posOffset>69216</wp:posOffset>
                </wp:positionV>
                <wp:extent cx="8515350" cy="17335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8515350" cy="173355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5713D2F" w14:textId="77777777" w:rsidR="00434D97" w:rsidRPr="00F67A1B" w:rsidRDefault="00434D9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（損失補償等の原則禁止）</w:t>
                            </w:r>
                          </w:p>
                          <w:p w14:paraId="24451DE0" w14:textId="77777777" w:rsidR="00434D97" w:rsidRPr="00F67A1B" w:rsidRDefault="00434D97"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第１０条　府は、府以外の者の債務に関して、債権者その他の者に対し、あらかじめ損失補償の債務を負担しないものとする。ただし、債務を負担する必要性、当該府以外の者の財務状況及び損失補償に係る事業の採算性、補償する損失の範囲、補償の限度額の妥当性、損失の確定の時期、債務を負担する場合に財政運営に与える影響その他必要な事項に関し検討を行った結果、やむを得ない理由があると認められる場合に限り、これらの事項を明らかにした上で、債務を負担することができる。</w:t>
                            </w:r>
                          </w:p>
                          <w:p w14:paraId="0A97E023" w14:textId="77777777" w:rsidR="00434D97" w:rsidRPr="00F67A1B" w:rsidRDefault="00434D9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※債務保証も同様の規定（第10条第3項）</w:t>
                            </w:r>
                          </w:p>
                          <w:p w14:paraId="7F7E564F" w14:textId="77777777" w:rsidR="00204107" w:rsidRPr="00F67A1B" w:rsidRDefault="0020410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※既往の損失補償・債務保証についても点検・公表（附則第４項）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9D8C5" id="正方形/長方形 4" o:spid="_x0000_s1028" style="position:absolute;left:0;text-align:left;margin-left:30.75pt;margin-top:5.45pt;width:670.5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" filled="f" strokecolor="black [3213]" strokeweight="1pt">
                <v:stroke dashstyle="3 1"/>
                <v:textbox>
                  <w:txbxContent>
                    <w:p w14:paraId="45713D2F" w14:textId="77777777" w:rsidR="00434D97" w:rsidRPr="00F67A1B" w:rsidRDefault="00434D9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（損失補償等の原則禁止）</w:t>
                      </w:r>
                    </w:p>
                    <w:p w14:paraId="24451DE0" w14:textId="77777777" w:rsidR="00434D97" w:rsidRPr="00F67A1B" w:rsidRDefault="00434D97" w:rsidP="00F67A1B">
                      <w:pPr>
                        <w:ind w:left="270" w:hangingChars="135" w:hanging="270"/>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第１０条　府は、府以外の者の債務に関して、債権者その他の者に対し、あらかじめ損失補償の債務を負担しないものとする。ただし、債務を負担する必要性、当該府以外の者の財務状況及び損失補償に係る事業の採算性、補償する損失の範囲、補償の限度額の妥当性、損失の確定の時期、債務を負担する場合に財政運営に与える影響その他必要な事項に関し検討を行った結果、やむを得ない理由があると認められる場合に限り、これらの事項を明らかにした上で、債務を負担することができる。</w:t>
                      </w:r>
                    </w:p>
                    <w:p w14:paraId="0A97E023" w14:textId="77777777" w:rsidR="00434D97" w:rsidRPr="00F67A1B" w:rsidRDefault="00434D9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※債務保証も同様の規定（第10条第3項）</w:t>
                      </w:r>
                    </w:p>
                    <w:p w14:paraId="7F7E564F" w14:textId="77777777" w:rsidR="00204107" w:rsidRPr="00F67A1B" w:rsidRDefault="00204107" w:rsidP="00434D97">
                      <w:pPr>
                        <w:jc w:val="left"/>
                        <w:rPr>
                          <w:rFonts w:ascii="Meiryo UI" w:eastAsia="Meiryo UI" w:hAnsi="Meiryo UI" w:cs="Meiryo UI"/>
                          <w:color w:val="000000" w:themeColor="text1"/>
                          <w:sz w:val="20"/>
                        </w:rPr>
                      </w:pPr>
                      <w:r w:rsidRPr="00F67A1B">
                        <w:rPr>
                          <w:rFonts w:ascii="Meiryo UI" w:eastAsia="Meiryo UI" w:hAnsi="Meiryo UI" w:cs="Meiryo UI" w:hint="eastAsia"/>
                          <w:color w:val="000000" w:themeColor="text1"/>
                          <w:sz w:val="20"/>
                        </w:rPr>
                        <w:t xml:space="preserve">　　　※既往の損失補償・債務保証についても点検・公表（附則第４項）</w:t>
                      </w:r>
                    </w:p>
                  </w:txbxContent>
                </v:textbox>
              </v:rect>
            </w:pict>
          </mc:Fallback>
        </mc:AlternateContent>
      </w:r>
    </w:p>
    <w:p w14:paraId="2EDA0331" w14:textId="77777777" w:rsidR="0057224A" w:rsidRDefault="0057224A">
      <w:pPr>
        <w:rPr>
          <w:rFonts w:ascii="Meiryo UI" w:eastAsia="Meiryo UI" w:hAnsi="Meiryo UI" w:cs="Meiryo UI"/>
          <w:sz w:val="40"/>
        </w:rPr>
      </w:pPr>
    </w:p>
    <w:p w14:paraId="7CB9481D" w14:textId="77777777" w:rsidR="0057224A" w:rsidRDefault="0057224A" w:rsidP="00391282">
      <w:pPr>
        <w:tabs>
          <w:tab w:val="left" w:pos="360"/>
        </w:tabs>
        <w:ind w:right="960"/>
        <w:rPr>
          <w:rFonts w:ascii="Meiryo UI" w:eastAsia="Meiryo UI" w:hAnsi="Meiryo UI" w:cs="Meiryo UI"/>
          <w:sz w:val="40"/>
        </w:rPr>
      </w:pPr>
    </w:p>
    <w:p w14:paraId="6B106E27" w14:textId="77777777" w:rsidR="00391282" w:rsidRDefault="00391282" w:rsidP="00391282">
      <w:pPr>
        <w:tabs>
          <w:tab w:val="left" w:pos="360"/>
        </w:tabs>
        <w:ind w:right="960"/>
        <w:rPr>
          <w:rFonts w:ascii="Meiryo UI" w:eastAsia="Meiryo UI" w:hAnsi="Meiryo UI" w:cs="Meiryo UI"/>
          <w:sz w:val="40"/>
        </w:rPr>
      </w:pPr>
    </w:p>
    <w:p w14:paraId="705EC47A" w14:textId="77777777" w:rsidR="00391282" w:rsidRPr="00212769" w:rsidRDefault="00391282" w:rsidP="00391282">
      <w:pPr>
        <w:tabs>
          <w:tab w:val="left" w:pos="360"/>
        </w:tabs>
        <w:ind w:right="960"/>
        <w:rPr>
          <w:rFonts w:ascii="Meiryo UI" w:eastAsia="Meiryo UI" w:hAnsi="Meiryo UI" w:cs="Meiryo UI"/>
          <w:sz w:val="28"/>
        </w:rPr>
      </w:pPr>
    </w:p>
    <w:sectPr w:rsidR="00391282" w:rsidRPr="00212769" w:rsidSect="00306077">
      <w:pgSz w:w="16838" w:h="11906" w:orient="landscape"/>
      <w:pgMar w:top="851" w:right="1440" w:bottom="233"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2462" w14:textId="77777777" w:rsidR="0047061A" w:rsidRDefault="0047061A" w:rsidP="0047061A">
      <w:r>
        <w:separator/>
      </w:r>
    </w:p>
  </w:endnote>
  <w:endnote w:type="continuationSeparator" w:id="0">
    <w:p w14:paraId="586DF99D" w14:textId="77777777" w:rsidR="0047061A" w:rsidRDefault="0047061A" w:rsidP="0047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FCA6" w14:textId="77777777" w:rsidR="0047061A" w:rsidRDefault="0047061A" w:rsidP="0047061A">
      <w:r>
        <w:separator/>
      </w:r>
    </w:p>
  </w:footnote>
  <w:footnote w:type="continuationSeparator" w:id="0">
    <w:p w14:paraId="07BEB564" w14:textId="77777777" w:rsidR="0047061A" w:rsidRDefault="0047061A" w:rsidP="00470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8EA"/>
    <w:rsid w:val="00062A15"/>
    <w:rsid w:val="00110A3D"/>
    <w:rsid w:val="001916CD"/>
    <w:rsid w:val="0019435A"/>
    <w:rsid w:val="00204107"/>
    <w:rsid w:val="00212769"/>
    <w:rsid w:val="00255CC4"/>
    <w:rsid w:val="00306077"/>
    <w:rsid w:val="00391282"/>
    <w:rsid w:val="00434D97"/>
    <w:rsid w:val="0047061A"/>
    <w:rsid w:val="0057224A"/>
    <w:rsid w:val="005853B5"/>
    <w:rsid w:val="005D3CC6"/>
    <w:rsid w:val="00600326"/>
    <w:rsid w:val="006F0C72"/>
    <w:rsid w:val="00731B3F"/>
    <w:rsid w:val="007F58D6"/>
    <w:rsid w:val="008D0EF9"/>
    <w:rsid w:val="00C701D6"/>
    <w:rsid w:val="00DA46F6"/>
    <w:rsid w:val="00E0671D"/>
    <w:rsid w:val="00EF4C5C"/>
    <w:rsid w:val="00F5042D"/>
    <w:rsid w:val="00F5624A"/>
    <w:rsid w:val="00F67A1B"/>
    <w:rsid w:val="00FD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FBCEE3"/>
  <w15:docId w15:val="{050AD3B6-AC44-49D0-AF30-95DDA663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1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107"/>
    <w:rPr>
      <w:rFonts w:asciiTheme="majorHAnsi" w:eastAsiaTheme="majorEastAsia" w:hAnsiTheme="majorHAnsi" w:cstheme="majorBidi"/>
      <w:sz w:val="18"/>
      <w:szCs w:val="18"/>
    </w:rPr>
  </w:style>
  <w:style w:type="paragraph" w:styleId="Web">
    <w:name w:val="Normal (Web)"/>
    <w:basedOn w:val="a"/>
    <w:uiPriority w:val="99"/>
    <w:unhideWhenUsed/>
    <w:rsid w:val="00F504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7061A"/>
    <w:pPr>
      <w:tabs>
        <w:tab w:val="center" w:pos="4252"/>
        <w:tab w:val="right" w:pos="8504"/>
      </w:tabs>
      <w:snapToGrid w:val="0"/>
    </w:pPr>
  </w:style>
  <w:style w:type="character" w:customStyle="1" w:styleId="a6">
    <w:name w:val="ヘッダー (文字)"/>
    <w:basedOn w:val="a0"/>
    <w:link w:val="a5"/>
    <w:uiPriority w:val="99"/>
    <w:rsid w:val="0047061A"/>
  </w:style>
  <w:style w:type="paragraph" w:styleId="a7">
    <w:name w:val="footer"/>
    <w:basedOn w:val="a"/>
    <w:link w:val="a8"/>
    <w:uiPriority w:val="99"/>
    <w:unhideWhenUsed/>
    <w:rsid w:val="0047061A"/>
    <w:pPr>
      <w:tabs>
        <w:tab w:val="center" w:pos="4252"/>
        <w:tab w:val="right" w:pos="8504"/>
      </w:tabs>
      <w:snapToGrid w:val="0"/>
    </w:pPr>
  </w:style>
  <w:style w:type="character" w:customStyle="1" w:styleId="a8">
    <w:name w:val="フッター (文字)"/>
    <w:basedOn w:val="a0"/>
    <w:link w:val="a7"/>
    <w:uiPriority w:val="99"/>
    <w:rsid w:val="0047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岩﨑　直人</cp:lastModifiedBy>
  <cp:revision>9</cp:revision>
  <cp:lastPrinted>2018-02-13T10:04:00Z</cp:lastPrinted>
  <dcterms:created xsi:type="dcterms:W3CDTF">2018-01-30T11:14:00Z</dcterms:created>
  <dcterms:modified xsi:type="dcterms:W3CDTF">2025-02-06T11:40:00Z</dcterms:modified>
</cp:coreProperties>
</file>