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E53E" w14:textId="77777777" w:rsidR="00321BF6" w:rsidRPr="00321BF6" w:rsidRDefault="00D70F3D" w:rsidP="00321BF6">
      <w:pPr>
        <w:kinsoku w:val="0"/>
        <w:overflowPunct w:val="0"/>
        <w:autoSpaceDE w:val="0"/>
        <w:autoSpaceDN w:val="0"/>
        <w:spacing w:line="426" w:lineRule="exact"/>
        <w:ind w:right="10"/>
        <w:jc w:val="right"/>
        <w:rPr>
          <w:rFonts w:ascii="ＭＳ ゴシック" w:eastAsia="ＭＳ ゴシック" w:hAnsi="ＭＳ ゴシック" w:cs="Times New Roman"/>
          <w:szCs w:val="21"/>
        </w:rPr>
      </w:pPr>
      <w:r>
        <w:rPr>
          <w:rFonts w:ascii="明朝体" w:eastAsia="明朝体" w:hAnsi="Century" w:cs="Times New Roman" w:hint="eastAsia"/>
          <w:noProof/>
          <w:szCs w:val="20"/>
        </w:rPr>
        <mc:AlternateContent>
          <mc:Choice Requires="wps">
            <w:drawing>
              <wp:anchor distT="0" distB="0" distL="114300" distR="114300" simplePos="0" relativeHeight="251659264" behindDoc="0" locked="0" layoutInCell="1" allowOverlap="1" wp14:anchorId="66D54B4B" wp14:editId="1FB66466">
                <wp:simplePos x="0" y="0"/>
                <wp:positionH relativeFrom="column">
                  <wp:posOffset>5822315</wp:posOffset>
                </wp:positionH>
                <wp:positionV relativeFrom="paragraph">
                  <wp:posOffset>41910</wp:posOffset>
                </wp:positionV>
                <wp:extent cx="68580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85800" cy="285750"/>
                        </a:xfrm>
                        <a:prstGeom prst="rect">
                          <a:avLst/>
                        </a:prstGeom>
                        <a:solidFill>
                          <a:schemeClr val="lt1"/>
                        </a:solidFill>
                        <a:ln w="6350">
                          <a:solidFill>
                            <a:prstClr val="black"/>
                          </a:solidFill>
                        </a:ln>
                      </wps:spPr>
                      <wps:txbx>
                        <w:txbxContent>
                          <w:p w14:paraId="0A3AB066" w14:textId="7ECD0095" w:rsidR="00D70F3D" w:rsidRPr="00D70F3D" w:rsidRDefault="00D70F3D">
                            <w:pPr>
                              <w:rPr>
                                <w:rFonts w:ascii="ＭＳ ゴシック" w:eastAsia="ＭＳ ゴシック" w:hAnsi="ＭＳ ゴシック" w:hint="eastAsia"/>
                              </w:rPr>
                            </w:pPr>
                            <w:r w:rsidRPr="00D70F3D">
                              <w:rPr>
                                <w:rFonts w:ascii="ＭＳ ゴシック" w:eastAsia="ＭＳ ゴシック" w:hAnsi="ＭＳ ゴシック" w:hint="eastAsia"/>
                              </w:rPr>
                              <w:t>資料</w:t>
                            </w:r>
                            <w:r w:rsidRPr="00D70F3D">
                              <w:rPr>
                                <w:rFonts w:ascii="ＭＳ ゴシック" w:eastAsia="ＭＳ ゴシック" w:hAnsi="ＭＳ ゴシック"/>
                              </w:rPr>
                              <w:t xml:space="preserve">　</w:t>
                            </w:r>
                            <w:r w:rsidR="009D4D41">
                              <w:rPr>
                                <w:rFonts w:ascii="ＭＳ ゴシック" w:eastAsia="ＭＳ ゴシック" w:hAnsi="ＭＳ 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54B4B" id="_x0000_t202" coordsize="21600,21600" o:spt="202" path="m,l,21600r21600,l21600,xe">
                <v:stroke joinstyle="miter"/>
                <v:path gradientshapeok="t" o:connecttype="rect"/>
              </v:shapetype>
              <v:shape id="テキスト ボックス 1" o:spid="_x0000_s1026" type="#_x0000_t202" style="position:absolute;left:0;text-align:left;margin-left:458.45pt;margin-top:3.3pt;width: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" fillcolor="white [3201]" strokeweight=".5pt">
                <v:textbox>
                  <w:txbxContent>
                    <w:p w14:paraId="0A3AB066" w14:textId="7ECD0095" w:rsidR="00D70F3D" w:rsidRPr="00D70F3D" w:rsidRDefault="00D70F3D">
                      <w:pPr>
                        <w:rPr>
                          <w:rFonts w:ascii="ＭＳ ゴシック" w:eastAsia="ＭＳ ゴシック" w:hAnsi="ＭＳ ゴシック" w:hint="eastAsia"/>
                        </w:rPr>
                      </w:pPr>
                      <w:r w:rsidRPr="00D70F3D">
                        <w:rPr>
                          <w:rFonts w:ascii="ＭＳ ゴシック" w:eastAsia="ＭＳ ゴシック" w:hAnsi="ＭＳ ゴシック" w:hint="eastAsia"/>
                        </w:rPr>
                        <w:t>資料</w:t>
                      </w:r>
                      <w:r w:rsidRPr="00D70F3D">
                        <w:rPr>
                          <w:rFonts w:ascii="ＭＳ ゴシック" w:eastAsia="ＭＳ ゴシック" w:hAnsi="ＭＳ ゴシック"/>
                        </w:rPr>
                        <w:t xml:space="preserve">　</w:t>
                      </w:r>
                      <w:r w:rsidR="009D4D41">
                        <w:rPr>
                          <w:rFonts w:ascii="ＭＳ ゴシック" w:eastAsia="ＭＳ ゴシック" w:hAnsi="ＭＳ ゴシック" w:hint="eastAsia"/>
                        </w:rPr>
                        <w:t>３</w:t>
                      </w:r>
                    </w:p>
                  </w:txbxContent>
                </v:textbox>
              </v:shape>
            </w:pict>
          </mc:Fallback>
        </mc:AlternateContent>
      </w:r>
      <w:r w:rsidR="00321BF6" w:rsidRPr="00321BF6">
        <w:rPr>
          <w:rFonts w:ascii="明朝体" w:eastAsia="明朝体" w:hAnsi="Century" w:cs="Times New Roman" w:hint="eastAsia"/>
          <w:szCs w:val="20"/>
        </w:rPr>
        <w:t xml:space="preserve">　　　　　　　　　　　　　　　　　　　　　　　　　　　　　　　　　　　　　　</w:t>
      </w:r>
      <w:r w:rsidR="00321BF6" w:rsidRPr="00321BF6">
        <w:rPr>
          <w:rFonts w:ascii="明朝体" w:eastAsia="明朝体" w:hAnsi="Century" w:cs="Times New Roman" w:hint="eastAsia"/>
          <w:szCs w:val="21"/>
        </w:rPr>
        <w:t xml:space="preserve">　　　</w:t>
      </w:r>
    </w:p>
    <w:p w14:paraId="52868637" w14:textId="77777777" w:rsidR="00321BF6" w:rsidRPr="00321BF6" w:rsidRDefault="00321BF6" w:rsidP="00321BF6">
      <w:pPr>
        <w:autoSpaceDE w:val="0"/>
        <w:autoSpaceDN w:val="0"/>
        <w:spacing w:line="396" w:lineRule="atLeast"/>
        <w:jc w:val="center"/>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会議の公開に関する指針</w:t>
      </w:r>
    </w:p>
    <w:p w14:paraId="0DD7CE37" w14:textId="77777777" w:rsidR="00321BF6" w:rsidRPr="00321BF6" w:rsidRDefault="00321BF6" w:rsidP="00321BF6">
      <w:pPr>
        <w:kinsoku w:val="0"/>
        <w:wordWrap w:val="0"/>
        <w:overflowPunct w:val="0"/>
        <w:autoSpaceDE w:val="0"/>
        <w:autoSpaceDN w:val="0"/>
        <w:spacing w:line="300" w:lineRule="exact"/>
        <w:ind w:right="10" w:firstLineChars="3500" w:firstLine="6545"/>
        <w:rPr>
          <w:rFonts w:ascii="明朝体" w:eastAsia="明朝体" w:hAnsi="Century" w:cs="Times New Roman"/>
          <w:spacing w:val="-1"/>
          <w:szCs w:val="21"/>
        </w:rPr>
      </w:pPr>
      <w:r w:rsidRPr="00321BF6">
        <w:rPr>
          <w:rFonts w:ascii="明朝体" w:eastAsia="明朝体" w:hAnsi="Century" w:cs="Times New Roman" w:hint="eastAsia"/>
          <w:spacing w:val="-1"/>
          <w:szCs w:val="21"/>
        </w:rPr>
        <w:t>昭和60年11月26日　大阪府知事決定</w:t>
      </w:r>
    </w:p>
    <w:p w14:paraId="2B0ECC7A" w14:textId="77777777" w:rsidR="00321BF6" w:rsidRPr="00321BF6" w:rsidRDefault="00321BF6" w:rsidP="00321BF6">
      <w:pPr>
        <w:kinsoku w:val="0"/>
        <w:wordWrap w:val="0"/>
        <w:overflowPunct w:val="0"/>
        <w:autoSpaceDE w:val="0"/>
        <w:autoSpaceDN w:val="0"/>
        <w:spacing w:line="300" w:lineRule="exact"/>
        <w:ind w:right="-54" w:firstLineChars="3500" w:firstLine="6545"/>
        <w:rPr>
          <w:rFonts w:ascii="明朝体" w:eastAsia="明朝体" w:hAnsi="Century" w:cs="Times New Roman"/>
          <w:spacing w:val="-1"/>
          <w:szCs w:val="21"/>
        </w:rPr>
      </w:pPr>
      <w:r w:rsidRPr="00321BF6">
        <w:rPr>
          <w:rFonts w:ascii="明朝体" w:eastAsia="明朝体" w:hAnsi="Century" w:cs="Times New Roman" w:hint="eastAsia"/>
          <w:spacing w:val="-1"/>
          <w:szCs w:val="21"/>
        </w:rPr>
        <w:t>平成８年10月１日　一部改正</w:t>
      </w:r>
    </w:p>
    <w:p w14:paraId="71C73C82" w14:textId="77777777" w:rsidR="00321BF6" w:rsidRPr="00321BF6" w:rsidRDefault="00321BF6" w:rsidP="00321BF6">
      <w:pPr>
        <w:kinsoku w:val="0"/>
        <w:wordWrap w:val="0"/>
        <w:overflowPunct w:val="0"/>
        <w:autoSpaceDE w:val="0"/>
        <w:autoSpaceDN w:val="0"/>
        <w:spacing w:line="300" w:lineRule="exact"/>
        <w:ind w:right="-54" w:firstLineChars="3500" w:firstLine="6545"/>
        <w:rPr>
          <w:rFonts w:ascii="明朝体" w:eastAsia="明朝体" w:hAnsi="Century" w:cs="Times New Roman"/>
          <w:spacing w:val="-1"/>
          <w:szCs w:val="21"/>
        </w:rPr>
      </w:pPr>
      <w:r w:rsidRPr="00321BF6">
        <w:rPr>
          <w:rFonts w:ascii="明朝体" w:eastAsia="明朝体" w:hAnsi="Century" w:cs="Times New Roman" w:hint="eastAsia"/>
          <w:spacing w:val="-1"/>
          <w:szCs w:val="21"/>
        </w:rPr>
        <w:t>平成12年６月１日　一部改正</w:t>
      </w:r>
    </w:p>
    <w:p w14:paraId="03693F6A" w14:textId="77777777" w:rsidR="00321BF6" w:rsidRPr="00321BF6" w:rsidRDefault="00321BF6" w:rsidP="00321BF6">
      <w:pPr>
        <w:kinsoku w:val="0"/>
        <w:wordWrap w:val="0"/>
        <w:overflowPunct w:val="0"/>
        <w:autoSpaceDE w:val="0"/>
        <w:autoSpaceDN w:val="0"/>
        <w:spacing w:line="300" w:lineRule="exact"/>
        <w:ind w:right="-54" w:firstLineChars="3500" w:firstLine="6545"/>
        <w:rPr>
          <w:rFonts w:ascii="明朝体" w:eastAsia="明朝体" w:hAnsi="Century" w:cs="Times New Roman"/>
          <w:spacing w:val="-1"/>
          <w:szCs w:val="21"/>
        </w:rPr>
      </w:pPr>
      <w:r w:rsidRPr="00321BF6">
        <w:rPr>
          <w:rFonts w:ascii="明朝体" w:eastAsia="明朝体" w:hAnsi="Century" w:cs="Times New Roman" w:hint="eastAsia"/>
          <w:spacing w:val="-1"/>
          <w:szCs w:val="21"/>
        </w:rPr>
        <w:t>平成24年11月１日　一部改正</w:t>
      </w:r>
    </w:p>
    <w:p w14:paraId="77B28678" w14:textId="77777777" w:rsidR="00321BF6" w:rsidRPr="00321BF6" w:rsidRDefault="00321BF6" w:rsidP="00321BF6">
      <w:pPr>
        <w:kinsoku w:val="0"/>
        <w:wordWrap w:val="0"/>
        <w:overflowPunct w:val="0"/>
        <w:autoSpaceDE w:val="0"/>
        <w:autoSpaceDN w:val="0"/>
        <w:spacing w:line="300" w:lineRule="exact"/>
        <w:ind w:right="-54" w:firstLineChars="3500" w:firstLine="6545"/>
        <w:rPr>
          <w:rFonts w:ascii="明朝体" w:eastAsia="明朝体" w:hAnsi="Century" w:cs="Times New Roman"/>
          <w:spacing w:val="-1"/>
          <w:szCs w:val="21"/>
        </w:rPr>
      </w:pPr>
    </w:p>
    <w:p w14:paraId="16DD95F1"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 xml:space="preserve">　この指針は、大阪府情報公開条例（平成11年大阪府条例第39号）第33条の規定に基づき、審議会等の「会議の公開」に関し、その在り方を示したものである。</w:t>
      </w:r>
    </w:p>
    <w:p w14:paraId="4DCE0B34"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１．目的</w:t>
      </w:r>
    </w:p>
    <w:p w14:paraId="74909CC2" w14:textId="77777777" w:rsidR="00321BF6" w:rsidRPr="00321BF6" w:rsidRDefault="00321BF6" w:rsidP="00321BF6">
      <w:pPr>
        <w:kinsoku w:val="0"/>
        <w:wordWrap w:val="0"/>
        <w:overflowPunct w:val="0"/>
        <w:autoSpaceDE w:val="0"/>
        <w:autoSpaceDN w:val="0"/>
        <w:spacing w:line="396" w:lineRule="exact"/>
        <w:ind w:leftChars="100" w:left="189" w:right="10" w:firstLineChars="100" w:firstLine="189"/>
        <w:rPr>
          <w:rFonts w:ascii="明朝体" w:eastAsia="明朝体" w:hAnsi="Century" w:cs="Times New Roman"/>
          <w:szCs w:val="21"/>
        </w:rPr>
      </w:pPr>
      <w:r w:rsidRPr="00321BF6">
        <w:rPr>
          <w:rFonts w:ascii="明朝体" w:eastAsia="明朝体" w:hAnsi="Century" w:cs="Times New Roman" w:hint="eastAsia"/>
          <w:szCs w:val="21"/>
        </w:rPr>
        <w:t>審議会等の会議を公開することにより、その審議状況を府民に明らかにし、審議会等のより公正な運営の確保に資するとともに、府民参加による府政の推進に寄与することを目的とする。</w:t>
      </w:r>
    </w:p>
    <w:p w14:paraId="6ADABAA1"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２．対象</w:t>
      </w:r>
    </w:p>
    <w:p w14:paraId="6436B1F0"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r w:rsidRPr="00321BF6">
        <w:rPr>
          <w:rFonts w:ascii="明朝体" w:eastAsia="明朝体" w:hAnsi="Century" w:cs="Times New Roman" w:hint="eastAsia"/>
          <w:szCs w:val="21"/>
        </w:rPr>
        <w:t xml:space="preserve">　　この指針の対象とする審議会等は、府民、学識経験者等で構成され、法令又は条例の定めるところにより、府の事務について審議、審査、調査等を行なうために知事の下に設置された機関（以下「審議会」という。）とする。</w:t>
      </w:r>
    </w:p>
    <w:p w14:paraId="21554358"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３．会議の公開の基準</w:t>
      </w:r>
    </w:p>
    <w:p w14:paraId="5F0543CF"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 xml:space="preserve">　　審議会の会議は、原則として公開するものとする。</w:t>
      </w:r>
    </w:p>
    <w:p w14:paraId="680748EB"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 xml:space="preserve">　　ただし、審議会の会議が次のいずれかに該当する場合は、当該会議を公開しないことができる。</w:t>
      </w:r>
    </w:p>
    <w:p w14:paraId="7A854EB6"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（１）会議において大阪府情報公開条例第８条又は第９条の規定に該当する情報に関し審議する場合</w:t>
      </w:r>
    </w:p>
    <w:p w14:paraId="6729992C" w14:textId="77777777" w:rsidR="00321BF6" w:rsidRPr="00321BF6" w:rsidRDefault="00321BF6" w:rsidP="00321BF6">
      <w:pPr>
        <w:kinsoku w:val="0"/>
        <w:wordWrap w:val="0"/>
        <w:overflowPunct w:val="0"/>
        <w:autoSpaceDE w:val="0"/>
        <w:autoSpaceDN w:val="0"/>
        <w:spacing w:line="396" w:lineRule="exact"/>
        <w:ind w:left="378" w:right="10" w:hangingChars="200" w:hanging="378"/>
        <w:rPr>
          <w:rFonts w:ascii="明朝体" w:eastAsia="明朝体" w:hAnsi="Century" w:cs="Times New Roman"/>
          <w:szCs w:val="21"/>
        </w:rPr>
      </w:pPr>
      <w:r w:rsidRPr="00321BF6">
        <w:rPr>
          <w:rFonts w:ascii="明朝体" w:eastAsia="明朝体" w:hAnsi="Century" w:cs="Times New Roman" w:hint="eastAsia"/>
          <w:szCs w:val="21"/>
        </w:rPr>
        <w:t>（２）会議を公開することにより、公正・円滑な審議が著しく阻害され、会議の目的が達成できないと認められる場合</w:t>
      </w:r>
    </w:p>
    <w:p w14:paraId="41E60CF8"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４．公開・非公開の決定</w:t>
      </w:r>
    </w:p>
    <w:p w14:paraId="318C53B8"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 xml:space="preserve">　　審議会の会議の公開・非公開の決定は、審議会の会長が当該会議に諮って行うものとする。</w:t>
      </w:r>
    </w:p>
    <w:p w14:paraId="6F749A93"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５．公開の方法等</w:t>
      </w:r>
    </w:p>
    <w:p w14:paraId="675AE659" w14:textId="77777777" w:rsidR="00321BF6" w:rsidRPr="00321BF6" w:rsidRDefault="00321BF6" w:rsidP="00321BF6">
      <w:pPr>
        <w:kinsoku w:val="0"/>
        <w:wordWrap w:val="0"/>
        <w:overflowPunct w:val="0"/>
        <w:autoSpaceDE w:val="0"/>
        <w:autoSpaceDN w:val="0"/>
        <w:spacing w:line="396" w:lineRule="exact"/>
        <w:ind w:left="378" w:right="10" w:hangingChars="200" w:hanging="378"/>
        <w:rPr>
          <w:rFonts w:ascii="明朝体" w:eastAsia="明朝体" w:hAnsi="Century" w:cs="Times New Roman"/>
          <w:szCs w:val="21"/>
        </w:rPr>
      </w:pPr>
      <w:r w:rsidRPr="00321BF6">
        <w:rPr>
          <w:rFonts w:ascii="明朝体" w:eastAsia="明朝体" w:hAnsi="Century" w:cs="Times New Roman" w:hint="eastAsia"/>
          <w:szCs w:val="21"/>
        </w:rPr>
        <w:t>（１）審議会は、公開で行う会議については、会場に一定の傍聴席を設け、府民に傍聴を認めるものとする。</w:t>
      </w:r>
    </w:p>
    <w:p w14:paraId="2543C25E"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 xml:space="preserve">　　　なお、審議会の会長は、会議を円滑に運営するため会場の秩序維持に努めるものとする。</w:t>
      </w:r>
    </w:p>
    <w:p w14:paraId="3384686A"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明朝体" w:eastAsia="明朝体" w:hAnsi="Century" w:cs="Times New Roman" w:hint="eastAsia"/>
          <w:szCs w:val="21"/>
        </w:rPr>
        <w:t>（２）審議会の会長は、報道機関の取材活動について十分配慮するものとする。</w:t>
      </w:r>
    </w:p>
    <w:p w14:paraId="79A6834B"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６．会議開催の周知</w:t>
      </w:r>
    </w:p>
    <w:p w14:paraId="0407DDD2" w14:textId="77777777" w:rsidR="00321BF6" w:rsidRPr="00321BF6" w:rsidRDefault="00321BF6" w:rsidP="00321BF6">
      <w:pPr>
        <w:kinsoku w:val="0"/>
        <w:wordWrap w:val="0"/>
        <w:overflowPunct w:val="0"/>
        <w:autoSpaceDE w:val="0"/>
        <w:autoSpaceDN w:val="0"/>
        <w:spacing w:line="396" w:lineRule="exact"/>
        <w:ind w:left="378" w:right="10" w:hangingChars="200" w:hanging="378"/>
        <w:rPr>
          <w:rFonts w:ascii="明朝体" w:eastAsia="明朝体" w:hAnsi="Century" w:cs="Times New Roman"/>
          <w:szCs w:val="21"/>
        </w:rPr>
      </w:pPr>
      <w:r w:rsidRPr="00321BF6">
        <w:rPr>
          <w:rFonts w:ascii="明朝体" w:eastAsia="明朝体" w:hAnsi="Century" w:cs="Times New Roman" w:hint="eastAsia"/>
          <w:szCs w:val="21"/>
        </w:rPr>
        <w:t>（１）公開で行う会議の開催の周知は、インターネットの利用等により、会議日の確定後直ちに行うものとする。</w:t>
      </w:r>
    </w:p>
    <w:p w14:paraId="3CD56149" w14:textId="77777777" w:rsidR="00321BF6" w:rsidRPr="00321BF6" w:rsidRDefault="00321BF6" w:rsidP="00321BF6">
      <w:pPr>
        <w:kinsoku w:val="0"/>
        <w:wordWrap w:val="0"/>
        <w:overflowPunct w:val="0"/>
        <w:autoSpaceDE w:val="0"/>
        <w:autoSpaceDN w:val="0"/>
        <w:spacing w:line="396" w:lineRule="exact"/>
        <w:ind w:left="378" w:right="10" w:hangingChars="200" w:hanging="378"/>
        <w:rPr>
          <w:rFonts w:ascii="明朝体" w:eastAsia="明朝体" w:hAnsi="Century" w:cs="Times New Roman"/>
          <w:szCs w:val="21"/>
        </w:rPr>
      </w:pPr>
      <w:r w:rsidRPr="00321BF6">
        <w:rPr>
          <w:rFonts w:ascii="明朝体" w:eastAsia="明朝体" w:hAnsi="Century" w:cs="Times New Roman" w:hint="eastAsia"/>
          <w:szCs w:val="21"/>
        </w:rPr>
        <w:t>（２）会議開催の周知に当たっては、会議の開催日時及び場所、議題、傍聴者の定員、傍聴手続を明記するものとする。</w:t>
      </w:r>
    </w:p>
    <w:p w14:paraId="6101F67F" w14:textId="77777777" w:rsidR="00321BF6" w:rsidRPr="00321BF6" w:rsidRDefault="00321BF6" w:rsidP="00321BF6">
      <w:pPr>
        <w:kinsoku w:val="0"/>
        <w:wordWrap w:val="0"/>
        <w:overflowPunct w:val="0"/>
        <w:autoSpaceDE w:val="0"/>
        <w:autoSpaceDN w:val="0"/>
        <w:spacing w:line="396" w:lineRule="exact"/>
        <w:ind w:right="10"/>
        <w:rPr>
          <w:rFonts w:ascii="明朝体" w:eastAsia="明朝体" w:hAnsi="Century" w:cs="Times New Roman"/>
          <w:szCs w:val="21"/>
        </w:rPr>
      </w:pPr>
      <w:r w:rsidRPr="00321BF6">
        <w:rPr>
          <w:rFonts w:ascii="ゴシック体" w:eastAsia="ゴシック体" w:hAnsi="Century" w:cs="Times New Roman" w:hint="eastAsia"/>
          <w:szCs w:val="21"/>
        </w:rPr>
        <w:t>７．その他</w:t>
      </w:r>
    </w:p>
    <w:p w14:paraId="235A6332"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r w:rsidRPr="00321BF6">
        <w:rPr>
          <w:rFonts w:ascii="明朝体" w:eastAsia="明朝体" w:hAnsi="Century" w:cs="Times New Roman" w:hint="eastAsia"/>
          <w:szCs w:val="21"/>
        </w:rPr>
        <w:t xml:space="preserve">　　会議の経過、結果について、会議終了後できるだけ速やかに、インターネットの利用等による公表に努めるものとする。</w:t>
      </w:r>
    </w:p>
    <w:p w14:paraId="5D9C2EB5"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4BB8C2C6"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0A150AC9"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644B873A"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408F9D7A"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60993041"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6FDD0CC5"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0E3FD5A2" w14:textId="77777777" w:rsidR="00321BF6" w:rsidRPr="00321BF6" w:rsidRDefault="00321BF6" w:rsidP="00321BF6">
      <w:pPr>
        <w:autoSpaceDE w:val="0"/>
        <w:autoSpaceDN w:val="0"/>
        <w:spacing w:line="396" w:lineRule="atLeast"/>
        <w:jc w:val="center"/>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lastRenderedPageBreak/>
        <w:t>大阪府情報公開条例（抜粋）</w:t>
      </w:r>
    </w:p>
    <w:p w14:paraId="41F36944" w14:textId="77777777" w:rsidR="00321BF6" w:rsidRPr="00321BF6" w:rsidRDefault="00321BF6" w:rsidP="00321BF6">
      <w:pPr>
        <w:autoSpaceDE w:val="0"/>
        <w:autoSpaceDN w:val="0"/>
        <w:spacing w:line="396" w:lineRule="atLeast"/>
        <w:ind w:firstLineChars="4000" w:firstLine="7560"/>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平成11年10月29日</w:t>
      </w:r>
    </w:p>
    <w:p w14:paraId="321A1F22" w14:textId="77777777" w:rsidR="00321BF6" w:rsidRPr="00321BF6" w:rsidRDefault="00321BF6" w:rsidP="00321BF6">
      <w:pPr>
        <w:autoSpaceDE w:val="0"/>
        <w:autoSpaceDN w:val="0"/>
        <w:spacing w:line="396" w:lineRule="atLeast"/>
        <w:ind w:firstLineChars="4000" w:firstLine="7560"/>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大阪府条例第39号</w:t>
      </w:r>
    </w:p>
    <w:p w14:paraId="2F29357E" w14:textId="77777777" w:rsidR="00321BF6" w:rsidRPr="00321BF6" w:rsidRDefault="00321BF6" w:rsidP="00321BF6">
      <w:pPr>
        <w:autoSpaceDE w:val="0"/>
        <w:autoSpaceDN w:val="0"/>
        <w:spacing w:line="396" w:lineRule="atLeast"/>
        <w:rPr>
          <w:rFonts w:ascii="ＭＳ ゴシック" w:eastAsia="ＭＳ ゴシック" w:hAnsi="ＭＳ ゴシック" w:cs="Times New Roman"/>
          <w:szCs w:val="21"/>
        </w:rPr>
      </w:pPr>
    </w:p>
    <w:p w14:paraId="5AF5E9F4" w14:textId="77777777" w:rsidR="00321BF6" w:rsidRPr="00321BF6" w:rsidRDefault="00321BF6" w:rsidP="00321BF6">
      <w:pPr>
        <w:autoSpaceDE w:val="0"/>
        <w:autoSpaceDN w:val="0"/>
        <w:spacing w:line="396" w:lineRule="atLeast"/>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(公開しないことができる行政文書)</w:t>
      </w:r>
    </w:p>
    <w:p w14:paraId="271D24E9" w14:textId="77777777" w:rsidR="00321BF6" w:rsidRPr="00321BF6" w:rsidRDefault="00321BF6" w:rsidP="00321BF6">
      <w:pPr>
        <w:autoSpaceDE w:val="0"/>
        <w:autoSpaceDN w:val="0"/>
        <w:spacing w:line="396" w:lineRule="atLeast"/>
        <w:ind w:left="189" w:hangingChars="100" w:hanging="189"/>
        <w:rPr>
          <w:rFonts w:cs="Times New Roman"/>
          <w:szCs w:val="21"/>
        </w:rPr>
      </w:pPr>
      <w:r w:rsidRPr="00321BF6">
        <w:rPr>
          <w:rFonts w:cs="Times New Roman" w:hint="eastAsia"/>
          <w:szCs w:val="21"/>
        </w:rPr>
        <w:t>第八条　実施機関(公安委員会及び警察本部長を除く。)は、次の各号のいずれかに該当する情報が記録されている行政文書を公開しないことができる。</w:t>
      </w:r>
    </w:p>
    <w:p w14:paraId="241DCE5F"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一　法人(省略)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14:paraId="2682D02E"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p w14:paraId="03793AFF"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三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14:paraId="5CD90AA6"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四　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p w14:paraId="0D7A5D1F"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五　公にすることにより、個人の生命、身体、財産等の保護、犯罪の予防又は捜査その他の公共の安全と秩序の維持に支障を及ぼすと認められる情報</w:t>
      </w:r>
    </w:p>
    <w:p w14:paraId="2A53276F" w14:textId="77777777" w:rsidR="00321BF6" w:rsidRPr="00321BF6" w:rsidRDefault="00321BF6" w:rsidP="00321BF6">
      <w:pPr>
        <w:autoSpaceDE w:val="0"/>
        <w:autoSpaceDN w:val="0"/>
        <w:spacing w:line="396" w:lineRule="atLeast"/>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(公開してはならない行政文書)</w:t>
      </w:r>
    </w:p>
    <w:p w14:paraId="531C9781" w14:textId="77777777" w:rsidR="00321BF6" w:rsidRPr="00321BF6" w:rsidRDefault="00321BF6" w:rsidP="00321BF6">
      <w:pPr>
        <w:autoSpaceDE w:val="0"/>
        <w:autoSpaceDN w:val="0"/>
        <w:spacing w:line="396" w:lineRule="atLeast"/>
        <w:ind w:left="189" w:hangingChars="100" w:hanging="189"/>
        <w:rPr>
          <w:rFonts w:cs="Times New Roman"/>
          <w:szCs w:val="21"/>
        </w:rPr>
      </w:pPr>
      <w:r w:rsidRPr="00321BF6">
        <w:rPr>
          <w:rFonts w:cs="Times New Roman" w:hint="eastAsia"/>
          <w:szCs w:val="21"/>
        </w:rPr>
        <w:t>第九条　実施機関は、次の各号のいずれかに該当する情報が記録されている行政文書を公開してはならない。</w:t>
      </w:r>
    </w:p>
    <w:p w14:paraId="0AED02F6"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一　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w:t>
      </w:r>
    </w:p>
    <w:p w14:paraId="41975BB4" w14:textId="77777777" w:rsidR="00321BF6" w:rsidRPr="00321BF6" w:rsidRDefault="00321BF6" w:rsidP="00321BF6">
      <w:pPr>
        <w:autoSpaceDE w:val="0"/>
        <w:autoSpaceDN w:val="0"/>
        <w:spacing w:line="396" w:lineRule="atLeast"/>
        <w:ind w:leftChars="100" w:left="378" w:hangingChars="100" w:hanging="189"/>
        <w:rPr>
          <w:rFonts w:cs="Times New Roman"/>
          <w:szCs w:val="21"/>
        </w:rPr>
      </w:pPr>
      <w:r w:rsidRPr="00321BF6">
        <w:rPr>
          <w:rFonts w:cs="Times New Roman" w:hint="eastAsia"/>
          <w:szCs w:val="21"/>
        </w:rPr>
        <w:t>二　法令の規定により、又は法律若しくはこれに基づく政令の規定による明示の指示(地方自治法(昭和二十二年法律第六十七号)第二百四十五条第一号への指示その他これに類する行為をいう。)により、公にすることができない情報</w:t>
      </w:r>
    </w:p>
    <w:p w14:paraId="66A5D50A" w14:textId="77777777" w:rsidR="00321BF6" w:rsidRPr="00321BF6" w:rsidRDefault="00321BF6" w:rsidP="00321BF6">
      <w:pPr>
        <w:autoSpaceDE w:val="0"/>
        <w:autoSpaceDN w:val="0"/>
        <w:spacing w:line="396" w:lineRule="atLeast"/>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(守秘義務)</w:t>
      </w:r>
    </w:p>
    <w:p w14:paraId="02EAD9DF" w14:textId="77777777" w:rsidR="00321BF6" w:rsidRPr="00321BF6" w:rsidRDefault="00321BF6" w:rsidP="00321BF6">
      <w:pPr>
        <w:autoSpaceDE w:val="0"/>
        <w:autoSpaceDN w:val="0"/>
        <w:spacing w:line="396" w:lineRule="atLeast"/>
        <w:rPr>
          <w:rFonts w:cs="Times New Roman"/>
          <w:szCs w:val="21"/>
        </w:rPr>
      </w:pPr>
      <w:r w:rsidRPr="00321BF6">
        <w:rPr>
          <w:rFonts w:cs="Times New Roman" w:hint="eastAsia"/>
          <w:szCs w:val="21"/>
        </w:rPr>
        <w:t>第三十条　審査会の委員は、職務上知ることのできた秘密を漏らしてはならない。その職を退いた後も同様とする。</w:t>
      </w:r>
    </w:p>
    <w:p w14:paraId="06B4EF72" w14:textId="77777777" w:rsidR="00321BF6" w:rsidRPr="00321BF6" w:rsidRDefault="00321BF6" w:rsidP="00321BF6">
      <w:pPr>
        <w:autoSpaceDE w:val="0"/>
        <w:autoSpaceDN w:val="0"/>
        <w:spacing w:line="396" w:lineRule="atLeast"/>
        <w:rPr>
          <w:rFonts w:ascii="ＭＳ ゴシック" w:eastAsia="ＭＳ ゴシック" w:hAnsi="ＭＳ ゴシック" w:cs="Times New Roman"/>
          <w:szCs w:val="21"/>
        </w:rPr>
      </w:pPr>
      <w:r w:rsidRPr="00321BF6">
        <w:rPr>
          <w:rFonts w:ascii="ＭＳ ゴシック" w:eastAsia="ＭＳ ゴシック" w:hAnsi="ＭＳ ゴシック" w:cs="Times New Roman" w:hint="eastAsia"/>
          <w:szCs w:val="21"/>
        </w:rPr>
        <w:t xml:space="preserve"> (会議の公開)</w:t>
      </w:r>
    </w:p>
    <w:p w14:paraId="66529B11" w14:textId="77777777" w:rsidR="00321BF6" w:rsidRPr="00321BF6" w:rsidRDefault="00321BF6" w:rsidP="00321BF6">
      <w:pPr>
        <w:autoSpaceDE w:val="0"/>
        <w:autoSpaceDN w:val="0"/>
        <w:spacing w:line="396" w:lineRule="atLeast"/>
        <w:ind w:left="189" w:hangingChars="100" w:hanging="189"/>
        <w:rPr>
          <w:rFonts w:cs="Times New Roman"/>
          <w:szCs w:val="21"/>
        </w:rPr>
      </w:pPr>
      <w:r w:rsidRPr="00321BF6">
        <w:rPr>
          <w:rFonts w:cs="Times New Roman" w:hint="eastAsia"/>
          <w:szCs w:val="21"/>
        </w:rPr>
        <w:t>第三十三条　実施機関は、府民の府政への参加をより一層推進し、府政の公正な運営を確保するため、府民、学識経験のある者等で構成され、府の事務について審査、審議、調査等を行う審議会等の会議の公開に努めなければならない。</w:t>
      </w:r>
    </w:p>
    <w:p w14:paraId="0A13C3EB"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334FD661" w14:textId="77777777" w:rsidR="00321BF6" w:rsidRPr="00321BF6" w:rsidRDefault="00321BF6" w:rsidP="00321BF6">
      <w:pPr>
        <w:kinsoku w:val="0"/>
        <w:wordWrap w:val="0"/>
        <w:overflowPunct w:val="0"/>
        <w:autoSpaceDE w:val="0"/>
        <w:autoSpaceDN w:val="0"/>
        <w:spacing w:line="396" w:lineRule="exact"/>
        <w:ind w:left="189" w:right="10" w:hangingChars="100" w:hanging="189"/>
        <w:rPr>
          <w:rFonts w:ascii="明朝体" w:eastAsia="明朝体" w:hAnsi="Century" w:cs="Times New Roman"/>
          <w:szCs w:val="21"/>
        </w:rPr>
      </w:pPr>
    </w:p>
    <w:p w14:paraId="18E01012" w14:textId="77777777" w:rsidR="007F23A7" w:rsidRPr="00321BF6" w:rsidRDefault="007F23A7"/>
    <w:sectPr w:rsidR="007F23A7" w:rsidRPr="00321BF6" w:rsidSect="00321BF6">
      <w:pgSz w:w="11907" w:h="16840" w:code="9"/>
      <w:pgMar w:top="1134" w:right="851" w:bottom="567" w:left="851" w:header="142" w:footer="340" w:gutter="0"/>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BA81" w14:textId="77777777" w:rsidR="00321BF6" w:rsidRDefault="00321BF6" w:rsidP="00321BF6">
      <w:r>
        <w:separator/>
      </w:r>
    </w:p>
  </w:endnote>
  <w:endnote w:type="continuationSeparator" w:id="0">
    <w:p w14:paraId="4A280B86" w14:textId="77777777" w:rsidR="00321BF6" w:rsidRDefault="00321BF6" w:rsidP="0032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62F7" w14:textId="77777777" w:rsidR="00321BF6" w:rsidRDefault="00321BF6" w:rsidP="00321BF6">
      <w:r>
        <w:separator/>
      </w:r>
    </w:p>
  </w:footnote>
  <w:footnote w:type="continuationSeparator" w:id="0">
    <w:p w14:paraId="5A0FF0C2" w14:textId="77777777" w:rsidR="00321BF6" w:rsidRDefault="00321BF6" w:rsidP="00321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2C"/>
    <w:rsid w:val="00321BF6"/>
    <w:rsid w:val="005D72C6"/>
    <w:rsid w:val="005E47AB"/>
    <w:rsid w:val="007F23A7"/>
    <w:rsid w:val="009103FA"/>
    <w:rsid w:val="009D4D41"/>
    <w:rsid w:val="00B45D91"/>
    <w:rsid w:val="00BA30A1"/>
    <w:rsid w:val="00D70F3D"/>
    <w:rsid w:val="00E2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F631CC"/>
  <w15:chartTrackingRefBased/>
  <w15:docId w15:val="{F09DC227-6E23-4E90-A785-B20906AB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BF6"/>
    <w:pPr>
      <w:tabs>
        <w:tab w:val="center" w:pos="4252"/>
        <w:tab w:val="right" w:pos="8504"/>
      </w:tabs>
      <w:snapToGrid w:val="0"/>
    </w:pPr>
  </w:style>
  <w:style w:type="character" w:customStyle="1" w:styleId="a4">
    <w:name w:val="ヘッダー (文字)"/>
    <w:basedOn w:val="a0"/>
    <w:link w:val="a3"/>
    <w:uiPriority w:val="99"/>
    <w:rsid w:val="00321BF6"/>
  </w:style>
  <w:style w:type="paragraph" w:styleId="a5">
    <w:name w:val="footer"/>
    <w:basedOn w:val="a"/>
    <w:link w:val="a6"/>
    <w:uiPriority w:val="99"/>
    <w:unhideWhenUsed/>
    <w:rsid w:val="00321BF6"/>
    <w:pPr>
      <w:tabs>
        <w:tab w:val="center" w:pos="4252"/>
        <w:tab w:val="right" w:pos="8504"/>
      </w:tabs>
      <w:snapToGrid w:val="0"/>
    </w:pPr>
  </w:style>
  <w:style w:type="character" w:customStyle="1" w:styleId="a6">
    <w:name w:val="フッター (文字)"/>
    <w:basedOn w:val="a0"/>
    <w:link w:val="a5"/>
    <w:uiPriority w:val="99"/>
    <w:rsid w:val="0032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亀井　由華子</cp:lastModifiedBy>
  <cp:revision>4</cp:revision>
  <dcterms:created xsi:type="dcterms:W3CDTF">2019-05-13T05:07:00Z</dcterms:created>
  <dcterms:modified xsi:type="dcterms:W3CDTF">2025-08-05T06:33:00Z</dcterms:modified>
</cp:coreProperties>
</file>