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68D9358F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3F5601E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810100">
              <w:rPr>
                <w:rFonts w:hAnsi="HG丸ｺﾞｼｯｸM-PRO" w:hint="eastAsia"/>
                <w:sz w:val="24"/>
                <w:szCs w:val="24"/>
              </w:rPr>
              <w:t>1</w:t>
            </w:r>
            <w:r w:rsidR="00D96D9F">
              <w:rPr>
                <w:rFonts w:hAnsi="HG丸ｺﾞｼｯｸM-PRO" w:hint="eastAsia"/>
                <w:sz w:val="24"/>
                <w:szCs w:val="24"/>
              </w:rPr>
              <w:t>6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D96D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96D9F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D06B02">
              <w:rPr>
                <w:rFonts w:hAnsi="HG丸ｺﾞｼｯｸM-PRO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691E024A" w:rsidR="001D21FE" w:rsidRPr="00176CD4" w:rsidRDefault="00D96D9F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　本館　地下特別会議室　等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BEE3A7C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D468D67" w14:textId="18DF971E" w:rsidR="00D96D9F" w:rsidRDefault="00D96D9F" w:rsidP="00D96D9F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政策企画部副理事</w:t>
            </w:r>
          </w:p>
          <w:p w14:paraId="54B505E1" w14:textId="6588F568" w:rsidR="00D96D9F" w:rsidRPr="00176CD4" w:rsidRDefault="00D96D9F" w:rsidP="00D96D9F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政策企画部成長戦略局参事</w:t>
            </w:r>
          </w:p>
          <w:p w14:paraId="38BCAF3D" w14:textId="7CDBDF28" w:rsidR="001D21FE" w:rsidRDefault="00D96D9F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商工労働部商工労働総務課副理事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6A41D463" w14:textId="79C0DD46" w:rsidR="00027279" w:rsidRDefault="00F4080D" w:rsidP="00027279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・</w:t>
            </w:r>
            <w:r w:rsidR="00027279">
              <w:rPr>
                <w:rFonts w:hAnsi="HG丸ｺﾞｼｯｸM-PRO" w:hint="eastAsia"/>
                <w:sz w:val="21"/>
                <w:szCs w:val="21"/>
              </w:rPr>
              <w:t>WHX</w:t>
            </w:r>
            <w:r w:rsidR="00027279">
              <w:rPr>
                <w:rFonts w:hAnsi="HG丸ｺﾞｼｯｸM-PRO"/>
                <w:sz w:val="21"/>
                <w:szCs w:val="21"/>
              </w:rPr>
              <w:t xml:space="preserve"> Leaders Osaka</w:t>
            </w:r>
            <w:r w:rsidR="00027279">
              <w:rPr>
                <w:rFonts w:hAnsi="HG丸ｺﾞｼｯｸM-PRO" w:hint="eastAsia"/>
                <w:sz w:val="21"/>
                <w:szCs w:val="21"/>
              </w:rPr>
              <w:t>（国際会議）について</w:t>
            </w:r>
          </w:p>
          <w:p w14:paraId="561B798C" w14:textId="77777777" w:rsidR="00995584" w:rsidRDefault="00995584" w:rsidP="00995584">
            <w:pPr>
              <w:ind w:leftChars="100" w:left="220"/>
              <w:rPr>
                <w:rFonts w:hAnsi="HG丸ｺﾞｼｯｸM-PRO"/>
                <w:sz w:val="21"/>
                <w:szCs w:val="21"/>
              </w:rPr>
            </w:pPr>
            <w:r w:rsidRPr="00995584">
              <w:rPr>
                <w:rFonts w:hAnsi="HG丸ｺﾞｼｯｸM-PRO" w:hint="eastAsia"/>
                <w:sz w:val="21"/>
                <w:szCs w:val="21"/>
              </w:rPr>
              <w:t>開催にあたっては、各国からの出席者の確保のためにも、早めに周知する必要がある。</w:t>
            </w:r>
          </w:p>
          <w:p w14:paraId="00196E97" w14:textId="117F2783" w:rsidR="00F4080D" w:rsidRDefault="00F4080D" w:rsidP="00027279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・関西国際空港の機能強化について</w:t>
            </w:r>
          </w:p>
          <w:p w14:paraId="39DF2CA0" w14:textId="518F2925" w:rsidR="00F4080D" w:rsidRDefault="00F4080D" w:rsidP="00F4080D">
            <w:pPr>
              <w:ind w:leftChars="100" w:left="220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インドなどの南アジアはこれから需要が増えてくる地域。</w:t>
            </w:r>
            <w:r w:rsidR="006C44AC">
              <w:rPr>
                <w:rFonts w:hAnsi="HG丸ｺﾞｼｯｸM-PRO" w:hint="eastAsia"/>
                <w:sz w:val="21"/>
                <w:szCs w:val="21"/>
              </w:rPr>
              <w:t>新規</w:t>
            </w:r>
            <w:r w:rsidR="00BB2F08">
              <w:rPr>
                <w:rFonts w:hAnsi="HG丸ｺﾞｼｯｸM-PRO" w:hint="eastAsia"/>
                <w:sz w:val="21"/>
                <w:szCs w:val="21"/>
              </w:rPr>
              <w:t>就航先の開拓は、成果が出るのに時間を要すため、長期的に考慮する必要がある。</w:t>
            </w:r>
          </w:p>
          <w:p w14:paraId="53ED21BD" w14:textId="77777777" w:rsidR="00BB2F08" w:rsidRDefault="00BB2F08" w:rsidP="00BB2F08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・</w:t>
            </w:r>
            <w:r w:rsidR="00855939">
              <w:rPr>
                <w:rFonts w:hAnsi="HG丸ｺﾞｼｯｸM-PRO" w:hint="eastAsia"/>
                <w:sz w:val="21"/>
                <w:szCs w:val="21"/>
              </w:rPr>
              <w:t>WHX</w:t>
            </w:r>
            <w:r w:rsidR="00855939">
              <w:rPr>
                <w:rFonts w:hAnsi="HG丸ｺﾞｼｯｸM-PRO"/>
                <w:sz w:val="21"/>
                <w:szCs w:val="21"/>
              </w:rPr>
              <w:t xml:space="preserve"> Osaka</w:t>
            </w:r>
            <w:r w:rsidR="00855939">
              <w:rPr>
                <w:rFonts w:hAnsi="HG丸ｺﾞｼｯｸM-PRO" w:hint="eastAsia"/>
                <w:sz w:val="21"/>
                <w:szCs w:val="21"/>
              </w:rPr>
              <w:t>（展示会）について</w:t>
            </w:r>
          </w:p>
          <w:p w14:paraId="44DB4CDE" w14:textId="0E76CD11" w:rsidR="00855939" w:rsidRPr="00176CD4" w:rsidRDefault="006D6371" w:rsidP="006D6371">
            <w:pPr>
              <w:ind w:leftChars="100" w:left="220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他国でも同様の内容で開催している展示会がある場合、日本・大阪で開催する意義を確立させる必要がある。アジアの国々に</w:t>
            </w:r>
            <w:r w:rsidR="001A449C">
              <w:rPr>
                <w:rFonts w:hAnsi="HG丸ｺﾞｼｯｸM-PRO" w:hint="eastAsia"/>
                <w:sz w:val="21"/>
                <w:szCs w:val="21"/>
              </w:rPr>
              <w:t>しっかりと</w:t>
            </w:r>
            <w:r>
              <w:rPr>
                <w:rFonts w:hAnsi="HG丸ｺﾞｼｯｸM-PRO" w:hint="eastAsia"/>
                <w:sz w:val="21"/>
                <w:szCs w:val="21"/>
              </w:rPr>
              <w:t>ご参加いただけるよう、主催者と密に連携を取ることが大事である。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4116F5">
        <w:trPr>
          <w:trHeight w:val="850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1571B8"/>
    <w:rsid w:val="00176CD4"/>
    <w:rsid w:val="001A449C"/>
    <w:rsid w:val="001D21FE"/>
    <w:rsid w:val="002B4407"/>
    <w:rsid w:val="004116F5"/>
    <w:rsid w:val="005672DA"/>
    <w:rsid w:val="00570BCC"/>
    <w:rsid w:val="00605136"/>
    <w:rsid w:val="006C44AC"/>
    <w:rsid w:val="006D6371"/>
    <w:rsid w:val="00747883"/>
    <w:rsid w:val="007E6E3A"/>
    <w:rsid w:val="00810100"/>
    <w:rsid w:val="00855939"/>
    <w:rsid w:val="008C56C2"/>
    <w:rsid w:val="00954A13"/>
    <w:rsid w:val="00995584"/>
    <w:rsid w:val="009B6BD5"/>
    <w:rsid w:val="00B16DF9"/>
    <w:rsid w:val="00BB2F08"/>
    <w:rsid w:val="00BB4321"/>
    <w:rsid w:val="00C03C01"/>
    <w:rsid w:val="00CE12B8"/>
    <w:rsid w:val="00D06B02"/>
    <w:rsid w:val="00D96D9F"/>
    <w:rsid w:val="00DA0645"/>
    <w:rsid w:val="00DA29B0"/>
    <w:rsid w:val="00E21373"/>
    <w:rsid w:val="00EB57E0"/>
    <w:rsid w:val="00F4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21</cp:revision>
  <cp:lastPrinted>2026-01-22T02:49:00Z</cp:lastPrinted>
  <dcterms:created xsi:type="dcterms:W3CDTF">2026-01-14T09:59:00Z</dcterms:created>
  <dcterms:modified xsi:type="dcterms:W3CDTF">2026-02-20T02:00:00Z</dcterms:modified>
</cp:coreProperties>
</file>