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2ABC8" w14:textId="78F4B1E5" w:rsidR="00851002" w:rsidRDefault="00EF4BB2" w:rsidP="00EF4BB2">
      <w:pPr>
        <w:jc w:val="right"/>
      </w:pPr>
      <w:r>
        <w:rPr>
          <w:rFonts w:hint="eastAsia"/>
        </w:rPr>
        <w:t>令和８年２月26日</w:t>
      </w:r>
    </w:p>
    <w:p w14:paraId="49424A88" w14:textId="77777777" w:rsidR="00EF4BB2" w:rsidRDefault="00EF4BB2"/>
    <w:p w14:paraId="2CD3F4D2" w14:textId="2D9BB382" w:rsidR="00EF4BB2" w:rsidRPr="0092151B" w:rsidRDefault="00EF4BB2" w:rsidP="00EF4BB2">
      <w:pPr>
        <w:jc w:val="center"/>
        <w:rPr>
          <w:b/>
          <w:bCs/>
          <w:sz w:val="24"/>
          <w:szCs w:val="24"/>
        </w:rPr>
      </w:pPr>
      <w:r w:rsidRPr="0092151B">
        <w:rPr>
          <w:rFonts w:hint="eastAsia"/>
          <w:b/>
          <w:bCs/>
          <w:sz w:val="24"/>
          <w:szCs w:val="24"/>
        </w:rPr>
        <w:t>大阪ヘルスケアパビリオン跡地活用ゾーン開発事業者募集公募型プロポーザル（二段階審査方式）実施要領　新旧対照表</w:t>
      </w:r>
    </w:p>
    <w:p w14:paraId="123998CF" w14:textId="77777777" w:rsidR="00EF4BB2" w:rsidRDefault="00EF4BB2" w:rsidP="00EF4BB2"/>
    <w:tbl>
      <w:tblPr>
        <w:tblStyle w:val="ac"/>
        <w:tblW w:w="20124" w:type="dxa"/>
        <w:tblLayout w:type="fixed"/>
        <w:tblLook w:val="04A0" w:firstRow="1" w:lastRow="0" w:firstColumn="1" w:lastColumn="0" w:noHBand="0" w:noVBand="1"/>
      </w:tblPr>
      <w:tblGrid>
        <w:gridCol w:w="562"/>
        <w:gridCol w:w="1134"/>
        <w:gridCol w:w="9214"/>
        <w:gridCol w:w="9214"/>
      </w:tblGrid>
      <w:tr w:rsidR="0092151B" w14:paraId="1193B6B9" w14:textId="77777777" w:rsidTr="0092151B">
        <w:tc>
          <w:tcPr>
            <w:tcW w:w="562" w:type="dxa"/>
            <w:vAlign w:val="center"/>
          </w:tcPr>
          <w:p w14:paraId="7194A003" w14:textId="4111963C" w:rsidR="00EF4BB2" w:rsidRDefault="00EF4BB2" w:rsidP="0092151B">
            <w:pPr>
              <w:jc w:val="center"/>
            </w:pPr>
            <w:r>
              <w:rPr>
                <w:rFonts w:hint="eastAsia"/>
              </w:rPr>
              <w:t>頁</w:t>
            </w:r>
          </w:p>
        </w:tc>
        <w:tc>
          <w:tcPr>
            <w:tcW w:w="1134" w:type="dxa"/>
            <w:vAlign w:val="center"/>
          </w:tcPr>
          <w:p w14:paraId="6DCB8295" w14:textId="25360749" w:rsidR="00EF4BB2" w:rsidRDefault="00EF4BB2" w:rsidP="0092151B">
            <w:pPr>
              <w:jc w:val="center"/>
            </w:pPr>
            <w:r>
              <w:rPr>
                <w:rFonts w:hint="eastAsia"/>
              </w:rPr>
              <w:t>該当箇所</w:t>
            </w:r>
          </w:p>
        </w:tc>
        <w:tc>
          <w:tcPr>
            <w:tcW w:w="9214" w:type="dxa"/>
            <w:vAlign w:val="center"/>
          </w:tcPr>
          <w:p w14:paraId="335D72C2" w14:textId="0F806CD5" w:rsidR="00EF4BB2" w:rsidRDefault="00EF4BB2" w:rsidP="0092151B">
            <w:pPr>
              <w:jc w:val="center"/>
            </w:pPr>
            <w:r>
              <w:rPr>
                <w:rFonts w:hint="eastAsia"/>
              </w:rPr>
              <w:t>変更前</w:t>
            </w:r>
          </w:p>
        </w:tc>
        <w:tc>
          <w:tcPr>
            <w:tcW w:w="9214" w:type="dxa"/>
            <w:vAlign w:val="center"/>
          </w:tcPr>
          <w:p w14:paraId="23085438" w14:textId="5E89479B" w:rsidR="00EF4BB2" w:rsidRDefault="00EF4BB2" w:rsidP="0092151B">
            <w:pPr>
              <w:jc w:val="center"/>
            </w:pPr>
            <w:r>
              <w:rPr>
                <w:rFonts w:hint="eastAsia"/>
              </w:rPr>
              <w:t>変更後</w:t>
            </w:r>
          </w:p>
        </w:tc>
      </w:tr>
      <w:tr w:rsidR="0092151B" w14:paraId="4B9541D5" w14:textId="77777777" w:rsidTr="0092151B">
        <w:tc>
          <w:tcPr>
            <w:tcW w:w="562" w:type="dxa"/>
          </w:tcPr>
          <w:p w14:paraId="6AD58A88" w14:textId="24E6E0A2" w:rsidR="00EF4BB2" w:rsidRDefault="00EF4BB2" w:rsidP="00EF4BB2">
            <w:pPr>
              <w:jc w:val="center"/>
            </w:pPr>
            <w:r w:rsidRPr="00EF4BB2">
              <w:t>3</w:t>
            </w:r>
          </w:p>
        </w:tc>
        <w:tc>
          <w:tcPr>
            <w:tcW w:w="1134" w:type="dxa"/>
          </w:tcPr>
          <w:p w14:paraId="1D306D82" w14:textId="21A7407B" w:rsidR="00EF4BB2" w:rsidRDefault="00EF4BB2" w:rsidP="00EF4BB2">
            <w:pPr>
              <w:jc w:val="center"/>
            </w:pPr>
            <w:r w:rsidRPr="00EF4BB2">
              <w:rPr>
                <w:rFonts w:hint="eastAsia"/>
              </w:rPr>
              <w:t>Ⅰ</w:t>
            </w:r>
            <w:r w:rsidRPr="00EF4BB2">
              <w:t>-2</w:t>
            </w:r>
          </w:p>
        </w:tc>
        <w:tc>
          <w:tcPr>
            <w:tcW w:w="9214" w:type="dxa"/>
          </w:tcPr>
          <w:p w14:paraId="5193E824" w14:textId="77777777" w:rsidR="00EF4BB2" w:rsidRDefault="00EF4BB2" w:rsidP="00EF4BB2">
            <w:r>
              <w:rPr>
                <w:rFonts w:hint="eastAsia"/>
              </w:rPr>
              <w:t>２．本募集の売却対象物件</w:t>
            </w:r>
          </w:p>
          <w:p w14:paraId="323D88B7" w14:textId="77777777" w:rsidR="00EF4BB2" w:rsidRDefault="00EF4BB2" w:rsidP="00EF4BB2">
            <w:r>
              <w:rPr>
                <w:rFonts w:hint="eastAsia"/>
              </w:rPr>
              <w:t>・売却対象物件：土地及び準用工作物</w:t>
            </w:r>
          </w:p>
          <w:p w14:paraId="7DB2B3F0" w14:textId="77777777" w:rsidR="00EF4BB2" w:rsidRDefault="00EF4BB2" w:rsidP="00EF4BB2">
            <w:r>
              <w:rPr>
                <w:rFonts w:hint="eastAsia"/>
              </w:rPr>
              <w:t>詳しくは【物件調書（土地）】及び【物件調書（準用工作物）】をご覧ください。</w:t>
            </w:r>
          </w:p>
          <w:p w14:paraId="4BADE7C3" w14:textId="77777777" w:rsidR="00EF4BB2" w:rsidRDefault="00EF4BB2" w:rsidP="00EF4BB2">
            <w:r>
              <w:rPr>
                <w:rFonts w:hint="eastAsia"/>
              </w:rPr>
              <w:t>・予定価格：</w:t>
            </w:r>
            <w:r w:rsidRPr="00EF4BB2">
              <w:rPr>
                <w:rFonts w:hint="eastAsia"/>
                <w:color w:val="FF0000"/>
              </w:rPr>
              <w:t>後日公表（※）</w:t>
            </w:r>
          </w:p>
          <w:p w14:paraId="69A0FB21" w14:textId="77777777" w:rsidR="00EF4BB2" w:rsidRDefault="00EF4BB2" w:rsidP="00EF4BB2"/>
          <w:p w14:paraId="5FCF1247" w14:textId="77777777" w:rsidR="00EF4BB2" w:rsidRDefault="00EF4BB2" w:rsidP="00EF4BB2">
            <w:r>
              <w:rPr>
                <w:rFonts w:hint="eastAsia"/>
              </w:rPr>
              <w:t>売却対象土地（以下「本件土地」という。）</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992"/>
              <w:gridCol w:w="1559"/>
              <w:gridCol w:w="1559"/>
              <w:gridCol w:w="1418"/>
              <w:gridCol w:w="1984"/>
            </w:tblGrid>
            <w:tr w:rsidR="0092151B" w:rsidRPr="00E637EB" w14:paraId="1C3F4894" w14:textId="77777777" w:rsidTr="0092151B">
              <w:trPr>
                <w:cantSplit/>
                <w:trHeight w:val="907"/>
                <w:jc w:val="center"/>
              </w:trPr>
              <w:tc>
                <w:tcPr>
                  <w:tcW w:w="1555" w:type="dxa"/>
                  <w:shd w:val="clear" w:color="auto" w:fill="D9D9D9" w:themeFill="background1" w:themeFillShade="D9"/>
                  <w:vAlign w:val="center"/>
                </w:tcPr>
                <w:p w14:paraId="0BB79142" w14:textId="77777777" w:rsidR="0092151B" w:rsidRPr="00E637EB" w:rsidRDefault="0092151B" w:rsidP="0092151B">
                  <w:pPr>
                    <w:jc w:val="center"/>
                    <w:rPr>
                      <w:rFonts w:ascii="ＭＳ 明朝" w:hAnsi="ＭＳ 明朝"/>
                      <w:color w:val="000000" w:themeColor="text1"/>
                      <w:szCs w:val="21"/>
                    </w:rPr>
                  </w:pPr>
                  <w:r>
                    <w:rPr>
                      <w:rFonts w:ascii="ＭＳ 明朝" w:hAnsi="ＭＳ 明朝" w:hint="eastAsia"/>
                      <w:color w:val="000000" w:themeColor="text1"/>
                      <w:szCs w:val="21"/>
                    </w:rPr>
                    <w:t>所在地</w:t>
                  </w:r>
                </w:p>
              </w:tc>
              <w:tc>
                <w:tcPr>
                  <w:tcW w:w="992" w:type="dxa"/>
                  <w:shd w:val="clear" w:color="auto" w:fill="D9D9D9" w:themeFill="background1" w:themeFillShade="D9"/>
                  <w:vAlign w:val="center"/>
                </w:tcPr>
                <w:p w14:paraId="1C4C431B" w14:textId="77777777" w:rsidR="0092151B" w:rsidRPr="00E637EB" w:rsidRDefault="0092151B" w:rsidP="0092151B">
                  <w:pPr>
                    <w:jc w:val="center"/>
                    <w:rPr>
                      <w:rFonts w:ascii="ＭＳ 明朝" w:hAnsi="ＭＳ 明朝"/>
                      <w:color w:val="000000" w:themeColor="text1"/>
                      <w:szCs w:val="21"/>
                    </w:rPr>
                  </w:pPr>
                  <w:r w:rsidRPr="00E637EB">
                    <w:rPr>
                      <w:rFonts w:ascii="ＭＳ 明朝" w:hAnsi="ＭＳ 明朝" w:hint="eastAsia"/>
                      <w:color w:val="000000" w:themeColor="text1"/>
                      <w:szCs w:val="21"/>
                    </w:rPr>
                    <w:t>地目</w:t>
                  </w:r>
                </w:p>
              </w:tc>
              <w:tc>
                <w:tcPr>
                  <w:tcW w:w="1559" w:type="dxa"/>
                  <w:shd w:val="clear" w:color="auto" w:fill="D9D9D9" w:themeFill="background1" w:themeFillShade="D9"/>
                  <w:vAlign w:val="center"/>
                </w:tcPr>
                <w:p w14:paraId="34B72A24" w14:textId="77777777" w:rsidR="0092151B" w:rsidRPr="00E637EB" w:rsidRDefault="0092151B" w:rsidP="0092151B">
                  <w:pPr>
                    <w:jc w:val="center"/>
                    <w:rPr>
                      <w:rFonts w:ascii="ＭＳ 明朝" w:hAnsi="ＭＳ 明朝"/>
                      <w:color w:val="000000" w:themeColor="text1"/>
                      <w:szCs w:val="21"/>
                    </w:rPr>
                  </w:pPr>
                  <w:r w:rsidRPr="00E637EB">
                    <w:rPr>
                      <w:rFonts w:ascii="ＭＳ 明朝" w:hAnsi="ＭＳ 明朝" w:hint="eastAsia"/>
                      <w:color w:val="000000" w:themeColor="text1"/>
                      <w:szCs w:val="21"/>
                    </w:rPr>
                    <w:t>地積</w:t>
                  </w:r>
                </w:p>
              </w:tc>
              <w:tc>
                <w:tcPr>
                  <w:tcW w:w="1559" w:type="dxa"/>
                  <w:tcBorders>
                    <w:bottom w:val="single" w:sz="4" w:space="0" w:color="auto"/>
                  </w:tcBorders>
                  <w:shd w:val="clear" w:color="auto" w:fill="D9D9D9" w:themeFill="background1" w:themeFillShade="D9"/>
                  <w:vAlign w:val="center"/>
                </w:tcPr>
                <w:p w14:paraId="71D87DEB" w14:textId="77777777" w:rsidR="0092151B" w:rsidRPr="00F0122E" w:rsidRDefault="0092151B" w:rsidP="0092151B">
                  <w:pPr>
                    <w:jc w:val="center"/>
                    <w:rPr>
                      <w:rFonts w:ascii="ＭＳ 明朝" w:hAnsi="ＭＳ 明朝"/>
                      <w:color w:val="000000" w:themeColor="text1"/>
                      <w:szCs w:val="21"/>
                    </w:rPr>
                  </w:pPr>
                  <w:r w:rsidRPr="00E637EB">
                    <w:rPr>
                      <w:rFonts w:ascii="ＭＳ 明朝" w:hAnsi="ＭＳ 明朝" w:hint="eastAsia"/>
                      <w:color w:val="000000" w:themeColor="text1"/>
                      <w:szCs w:val="21"/>
                    </w:rPr>
                    <w:t>用途地域等</w:t>
                  </w:r>
                </w:p>
              </w:tc>
              <w:tc>
                <w:tcPr>
                  <w:tcW w:w="1418" w:type="dxa"/>
                  <w:shd w:val="clear" w:color="auto" w:fill="D9D9D9" w:themeFill="background1" w:themeFillShade="D9"/>
                  <w:vAlign w:val="center"/>
                </w:tcPr>
                <w:p w14:paraId="19638E38" w14:textId="77777777" w:rsidR="0092151B" w:rsidRPr="00E637EB" w:rsidRDefault="0092151B" w:rsidP="0092151B">
                  <w:pPr>
                    <w:jc w:val="center"/>
                    <w:rPr>
                      <w:rFonts w:ascii="ＭＳ 明朝" w:hAnsi="ＭＳ 明朝"/>
                      <w:color w:val="000000" w:themeColor="text1"/>
                      <w:szCs w:val="21"/>
                    </w:rPr>
                  </w:pPr>
                  <w:r w:rsidRPr="00E637EB">
                    <w:rPr>
                      <w:rFonts w:ascii="ＭＳ 明朝" w:hAnsi="ＭＳ 明朝" w:hint="eastAsia"/>
                      <w:color w:val="000000" w:themeColor="text1"/>
                      <w:szCs w:val="21"/>
                    </w:rPr>
                    <w:t>建ぺい率</w:t>
                  </w:r>
                  <w:r w:rsidRPr="00E637EB">
                    <w:rPr>
                      <w:rFonts w:ascii="ＭＳ 明朝" w:hAnsi="ＭＳ 明朝"/>
                      <w:color w:val="000000" w:themeColor="text1"/>
                      <w:szCs w:val="21"/>
                    </w:rPr>
                    <w:t>/</w:t>
                  </w:r>
                </w:p>
                <w:p w14:paraId="1B53B8E9" w14:textId="77777777" w:rsidR="0092151B" w:rsidRPr="00E637EB" w:rsidRDefault="0092151B" w:rsidP="0092151B">
                  <w:pPr>
                    <w:jc w:val="center"/>
                    <w:rPr>
                      <w:rFonts w:ascii="ＭＳ 明朝" w:hAnsi="ＭＳ 明朝"/>
                      <w:color w:val="000000" w:themeColor="text1"/>
                      <w:szCs w:val="21"/>
                    </w:rPr>
                  </w:pPr>
                  <w:r w:rsidRPr="00E637EB">
                    <w:rPr>
                      <w:rFonts w:ascii="ＭＳ 明朝" w:hAnsi="ＭＳ 明朝" w:hint="eastAsia"/>
                      <w:color w:val="000000" w:themeColor="text1"/>
                      <w:szCs w:val="21"/>
                    </w:rPr>
                    <w:t>指定容積率</w:t>
                  </w:r>
                </w:p>
              </w:tc>
              <w:tc>
                <w:tcPr>
                  <w:tcW w:w="1984" w:type="dxa"/>
                  <w:shd w:val="clear" w:color="auto" w:fill="D9D9D9" w:themeFill="background1" w:themeFillShade="D9"/>
                  <w:vAlign w:val="center"/>
                </w:tcPr>
                <w:p w14:paraId="75E98FD1" w14:textId="77777777" w:rsidR="0092151B" w:rsidRPr="00E637EB" w:rsidRDefault="0092151B" w:rsidP="0092151B">
                  <w:pPr>
                    <w:jc w:val="center"/>
                    <w:rPr>
                      <w:rFonts w:ascii="ＭＳ 明朝" w:hAnsi="ＭＳ 明朝"/>
                      <w:strike/>
                      <w:color w:val="000000" w:themeColor="text1"/>
                      <w:szCs w:val="21"/>
                    </w:rPr>
                  </w:pPr>
                  <w:r w:rsidRPr="00E637EB">
                    <w:rPr>
                      <w:rFonts w:ascii="ＭＳ 明朝" w:hAnsi="ＭＳ 明朝" w:hint="eastAsia"/>
                      <w:color w:val="000000" w:themeColor="text1"/>
                      <w:szCs w:val="21"/>
                    </w:rPr>
                    <w:t>予定価格に対する割合</w:t>
                  </w:r>
                </w:p>
              </w:tc>
            </w:tr>
            <w:tr w:rsidR="0092151B" w:rsidRPr="00E637EB" w14:paraId="41294406" w14:textId="77777777" w:rsidTr="0092151B">
              <w:trPr>
                <w:cantSplit/>
                <w:trHeight w:val="851"/>
                <w:jc w:val="center"/>
              </w:trPr>
              <w:tc>
                <w:tcPr>
                  <w:tcW w:w="1555" w:type="dxa"/>
                  <w:vAlign w:val="center"/>
                </w:tcPr>
                <w:p w14:paraId="42D00EC9" w14:textId="77777777" w:rsidR="0092151B" w:rsidRPr="00E637EB" w:rsidRDefault="0092151B" w:rsidP="0092151B">
                  <w:pPr>
                    <w:jc w:val="center"/>
                    <w:rPr>
                      <w:rFonts w:ascii="ＭＳ 明朝" w:hAnsi="ＭＳ 明朝"/>
                      <w:color w:val="000000" w:themeColor="text1"/>
                      <w:szCs w:val="21"/>
                    </w:rPr>
                  </w:pPr>
                  <w:r>
                    <w:rPr>
                      <w:rFonts w:ascii="ＭＳ 明朝" w:hAnsi="ＭＳ 明朝" w:hint="eastAsia"/>
                      <w:color w:val="000000" w:themeColor="text1"/>
                      <w:szCs w:val="21"/>
                    </w:rPr>
                    <w:t>此花区</w:t>
                  </w:r>
                  <w:r w:rsidRPr="00E637EB">
                    <w:rPr>
                      <w:rFonts w:ascii="ＭＳ 明朝" w:hAnsi="ＭＳ 明朝" w:hint="eastAsia"/>
                      <w:color w:val="000000" w:themeColor="text1"/>
                      <w:szCs w:val="21"/>
                    </w:rPr>
                    <w:t>夢洲中一丁目</w:t>
                  </w:r>
                </w:p>
                <w:p w14:paraId="42D417A0" w14:textId="77777777" w:rsidR="0092151B" w:rsidRPr="00E637EB" w:rsidRDefault="0092151B" w:rsidP="0092151B">
                  <w:pPr>
                    <w:jc w:val="center"/>
                    <w:rPr>
                      <w:rFonts w:ascii="ＭＳ 明朝" w:hAnsi="ＭＳ 明朝"/>
                      <w:color w:val="000000" w:themeColor="text1"/>
                      <w:szCs w:val="21"/>
                    </w:rPr>
                  </w:pPr>
                  <w:r w:rsidRPr="00E637EB">
                    <w:rPr>
                      <w:rFonts w:ascii="ＭＳ 明朝" w:hAnsi="ＭＳ 明朝" w:hint="eastAsia"/>
                      <w:color w:val="000000" w:themeColor="text1"/>
                      <w:szCs w:val="21"/>
                    </w:rPr>
                    <w:t>１番</w:t>
                  </w:r>
                  <w:r>
                    <w:rPr>
                      <w:rFonts w:ascii="ＭＳ 明朝" w:hAnsi="ＭＳ 明朝" w:hint="eastAsia"/>
                      <w:color w:val="000000" w:themeColor="text1"/>
                      <w:szCs w:val="21"/>
                    </w:rPr>
                    <w:t>50</w:t>
                  </w:r>
                </w:p>
              </w:tc>
              <w:tc>
                <w:tcPr>
                  <w:tcW w:w="992" w:type="dxa"/>
                  <w:vAlign w:val="center"/>
                </w:tcPr>
                <w:p w14:paraId="5D9B3076" w14:textId="77777777" w:rsidR="0092151B" w:rsidRPr="00E637EB" w:rsidRDefault="0092151B" w:rsidP="0092151B">
                  <w:pPr>
                    <w:jc w:val="center"/>
                    <w:rPr>
                      <w:rFonts w:ascii="ＭＳ 明朝" w:hAnsi="ＭＳ 明朝"/>
                      <w:color w:val="000000" w:themeColor="text1"/>
                      <w:szCs w:val="21"/>
                    </w:rPr>
                  </w:pPr>
                  <w:r w:rsidRPr="00E637EB">
                    <w:rPr>
                      <w:rFonts w:ascii="ＭＳ 明朝" w:hAnsi="ＭＳ 明朝" w:hint="eastAsia"/>
                      <w:color w:val="000000" w:themeColor="text1"/>
                      <w:szCs w:val="21"/>
                    </w:rPr>
                    <w:t>雑種地</w:t>
                  </w:r>
                </w:p>
              </w:tc>
              <w:tc>
                <w:tcPr>
                  <w:tcW w:w="1559" w:type="dxa"/>
                  <w:vAlign w:val="center"/>
                </w:tcPr>
                <w:p w14:paraId="259F08D1" w14:textId="77777777" w:rsidR="0092151B" w:rsidRPr="00E637EB" w:rsidRDefault="0092151B" w:rsidP="0092151B">
                  <w:pPr>
                    <w:jc w:val="center"/>
                    <w:rPr>
                      <w:rFonts w:ascii="ＭＳ 明朝" w:hAnsi="ＭＳ 明朝"/>
                      <w:color w:val="000000" w:themeColor="text1"/>
                      <w:szCs w:val="21"/>
                    </w:rPr>
                  </w:pPr>
                  <w:r>
                    <w:rPr>
                      <w:rFonts w:ascii="ＭＳ 明朝" w:hAnsi="ＭＳ 明朝" w:hint="eastAsia"/>
                      <w:color w:val="000000" w:themeColor="text1"/>
                      <w:szCs w:val="21"/>
                    </w:rPr>
                    <w:t>15,181.67</w:t>
                  </w:r>
                  <w:r w:rsidRPr="00E637EB">
                    <w:rPr>
                      <w:rFonts w:ascii="ＭＳ 明朝" w:hAnsi="ＭＳ 明朝"/>
                      <w:color w:val="000000" w:themeColor="text1"/>
                      <w:szCs w:val="21"/>
                    </w:rPr>
                    <w:t>㎡</w:t>
                  </w:r>
                  <w:r w:rsidRPr="00E637EB">
                    <w:rPr>
                      <w:rFonts w:ascii="ＭＳ 明朝" w:hAnsi="ＭＳ 明朝"/>
                      <w:color w:val="000000" w:themeColor="text1"/>
                      <w:szCs w:val="21"/>
                    </w:rPr>
                    <w:t xml:space="preserve"> </w:t>
                  </w:r>
                </w:p>
              </w:tc>
              <w:tc>
                <w:tcPr>
                  <w:tcW w:w="1559" w:type="dxa"/>
                  <w:tcBorders>
                    <w:top w:val="single" w:sz="4" w:space="0" w:color="auto"/>
                  </w:tcBorders>
                  <w:vAlign w:val="center"/>
                </w:tcPr>
                <w:p w14:paraId="61220D9E" w14:textId="77777777" w:rsidR="0092151B" w:rsidRPr="00E637EB" w:rsidRDefault="0092151B" w:rsidP="0092151B">
                  <w:pPr>
                    <w:jc w:val="center"/>
                    <w:rPr>
                      <w:rFonts w:ascii="ＭＳ 明朝" w:hAnsi="ＭＳ 明朝"/>
                      <w:color w:val="000000" w:themeColor="text1"/>
                      <w:szCs w:val="21"/>
                    </w:rPr>
                  </w:pPr>
                  <w:r w:rsidRPr="00E637EB">
                    <w:rPr>
                      <w:rFonts w:ascii="ＭＳ 明朝" w:hAnsi="ＭＳ 明朝" w:hint="eastAsia"/>
                      <w:color w:val="000000" w:themeColor="text1"/>
                      <w:szCs w:val="21"/>
                    </w:rPr>
                    <w:t>商業地域</w:t>
                  </w:r>
                </w:p>
                <w:p w14:paraId="7271627A" w14:textId="77777777" w:rsidR="0092151B" w:rsidRPr="00F0122E" w:rsidRDefault="0092151B" w:rsidP="0092151B">
                  <w:pPr>
                    <w:jc w:val="center"/>
                    <w:rPr>
                      <w:rFonts w:ascii="ＭＳ 明朝" w:hAnsi="ＭＳ 明朝"/>
                      <w:color w:val="000000" w:themeColor="text1"/>
                      <w:szCs w:val="21"/>
                    </w:rPr>
                  </w:pPr>
                  <w:r w:rsidRPr="00E637EB">
                    <w:rPr>
                      <w:rFonts w:ascii="ＭＳ 明朝" w:hAnsi="ＭＳ 明朝" w:hint="eastAsia"/>
                      <w:color w:val="000000" w:themeColor="text1"/>
                      <w:szCs w:val="21"/>
                    </w:rPr>
                    <w:t>国際観光地区</w:t>
                  </w:r>
                </w:p>
              </w:tc>
              <w:tc>
                <w:tcPr>
                  <w:tcW w:w="1418" w:type="dxa"/>
                  <w:vAlign w:val="center"/>
                </w:tcPr>
                <w:p w14:paraId="02DBDABC" w14:textId="77777777" w:rsidR="0092151B" w:rsidRPr="00E637EB" w:rsidRDefault="0092151B" w:rsidP="0092151B">
                  <w:pPr>
                    <w:jc w:val="center"/>
                    <w:rPr>
                      <w:rFonts w:ascii="ＭＳ 明朝" w:hAnsi="ＭＳ 明朝"/>
                      <w:color w:val="000000" w:themeColor="text1"/>
                      <w:szCs w:val="21"/>
                    </w:rPr>
                  </w:pPr>
                  <w:r w:rsidRPr="00E637EB">
                    <w:rPr>
                      <w:rFonts w:ascii="ＭＳ 明朝" w:hAnsi="ＭＳ 明朝"/>
                      <w:color w:val="000000" w:themeColor="text1"/>
                      <w:szCs w:val="21"/>
                    </w:rPr>
                    <w:t>80%/</w:t>
                  </w:r>
                </w:p>
                <w:p w14:paraId="47630DE0" w14:textId="77777777" w:rsidR="0092151B" w:rsidRPr="00E637EB" w:rsidRDefault="0092151B" w:rsidP="0092151B">
                  <w:pPr>
                    <w:jc w:val="center"/>
                    <w:rPr>
                      <w:rFonts w:ascii="ＭＳ 明朝" w:hAnsi="ＭＳ 明朝"/>
                      <w:color w:val="000000" w:themeColor="text1"/>
                      <w:szCs w:val="21"/>
                    </w:rPr>
                  </w:pPr>
                  <w:r w:rsidRPr="00E637EB">
                    <w:rPr>
                      <w:rFonts w:ascii="ＭＳ 明朝" w:hAnsi="ＭＳ 明朝"/>
                      <w:color w:val="000000" w:themeColor="text1"/>
                      <w:szCs w:val="21"/>
                    </w:rPr>
                    <w:t>400%</w:t>
                  </w:r>
                </w:p>
              </w:tc>
              <w:tc>
                <w:tcPr>
                  <w:tcW w:w="1984" w:type="dxa"/>
                  <w:vAlign w:val="center"/>
                </w:tcPr>
                <w:p w14:paraId="3E183154" w14:textId="77777777" w:rsidR="0092151B" w:rsidRPr="00E637EB" w:rsidRDefault="0092151B" w:rsidP="0092151B">
                  <w:pPr>
                    <w:jc w:val="center"/>
                    <w:rPr>
                      <w:rFonts w:ascii="ＭＳ 明朝" w:hAnsi="ＭＳ 明朝"/>
                      <w:color w:val="000000" w:themeColor="text1"/>
                      <w:szCs w:val="21"/>
                    </w:rPr>
                  </w:pPr>
                  <w:r w:rsidRPr="0092151B">
                    <w:rPr>
                      <w:rFonts w:ascii="ＭＳ 明朝" w:hAnsi="ＭＳ 明朝" w:hint="eastAsia"/>
                      <w:color w:val="FF0000"/>
                      <w:szCs w:val="21"/>
                    </w:rPr>
                    <w:t>後日公表（※）</w:t>
                  </w:r>
                </w:p>
              </w:tc>
            </w:tr>
          </w:tbl>
          <w:p w14:paraId="25FD2036" w14:textId="77777777" w:rsidR="00EF4BB2" w:rsidRDefault="00EF4BB2" w:rsidP="00EF4BB2"/>
          <w:p w14:paraId="7AC9791A" w14:textId="77777777" w:rsidR="00EF4BB2" w:rsidRDefault="00EF4BB2" w:rsidP="00EF4BB2">
            <w:r>
              <w:rPr>
                <w:rFonts w:hint="eastAsia"/>
              </w:rPr>
              <w:t>売却対象準用工作物（以下「本件工作物」という。）</w:t>
            </w:r>
          </w:p>
          <w:tbl>
            <w:tblPr>
              <w:tblpPr w:leftFromText="142" w:rightFromText="142" w:vertAnchor="text" w:horzAnchor="page" w:tblpXSpec="center" w:tblpY="74"/>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6"/>
              <w:gridCol w:w="1559"/>
              <w:gridCol w:w="3402"/>
            </w:tblGrid>
            <w:tr w:rsidR="0092151B" w:rsidRPr="00E637EB" w14:paraId="1B359583" w14:textId="77777777" w:rsidTr="0092151B">
              <w:trPr>
                <w:cantSplit/>
                <w:trHeight w:val="694"/>
              </w:trPr>
              <w:tc>
                <w:tcPr>
                  <w:tcW w:w="4106" w:type="dxa"/>
                  <w:shd w:val="clear" w:color="auto" w:fill="D9D9D9" w:themeFill="background1" w:themeFillShade="D9"/>
                  <w:vAlign w:val="center"/>
                </w:tcPr>
                <w:p w14:paraId="3775E1BE" w14:textId="77777777" w:rsidR="0092151B" w:rsidRPr="00E637EB" w:rsidRDefault="0092151B" w:rsidP="0092151B">
                  <w:pPr>
                    <w:jc w:val="center"/>
                    <w:rPr>
                      <w:rFonts w:ascii="ＭＳ 明朝" w:hAnsi="ＭＳ 明朝"/>
                      <w:color w:val="000000" w:themeColor="text1"/>
                      <w:szCs w:val="21"/>
                    </w:rPr>
                  </w:pPr>
                  <w:bookmarkStart w:id="0" w:name="_Hlk202363270"/>
                  <w:r w:rsidRPr="00E34B7A">
                    <w:rPr>
                      <w:rFonts w:ascii="ＭＳ 明朝" w:hAnsi="ＭＳ 明朝" w:hint="eastAsia"/>
                      <w:color w:val="000000" w:themeColor="text1"/>
                      <w:szCs w:val="21"/>
                    </w:rPr>
                    <w:t>名称</w:t>
                  </w:r>
                </w:p>
              </w:tc>
              <w:tc>
                <w:tcPr>
                  <w:tcW w:w="1559" w:type="dxa"/>
                  <w:shd w:val="clear" w:color="auto" w:fill="D9D9D9" w:themeFill="background1" w:themeFillShade="D9"/>
                  <w:vAlign w:val="center"/>
                </w:tcPr>
                <w:p w14:paraId="4061FD48" w14:textId="77777777" w:rsidR="0092151B" w:rsidRPr="00E637EB" w:rsidRDefault="0092151B" w:rsidP="0092151B">
                  <w:pPr>
                    <w:jc w:val="center"/>
                    <w:rPr>
                      <w:rFonts w:ascii="ＭＳ 明朝" w:hAnsi="ＭＳ 明朝"/>
                      <w:color w:val="000000" w:themeColor="text1"/>
                      <w:szCs w:val="21"/>
                    </w:rPr>
                  </w:pPr>
                  <w:r w:rsidRPr="00E637EB">
                    <w:rPr>
                      <w:rFonts w:ascii="ＭＳ 明朝" w:hAnsi="ＭＳ 明朝" w:hint="eastAsia"/>
                      <w:color w:val="000000" w:themeColor="text1"/>
                      <w:szCs w:val="21"/>
                    </w:rPr>
                    <w:t>構造</w:t>
                  </w:r>
                </w:p>
              </w:tc>
              <w:tc>
                <w:tcPr>
                  <w:tcW w:w="3402" w:type="dxa"/>
                  <w:shd w:val="clear" w:color="auto" w:fill="D9D9D9" w:themeFill="background1" w:themeFillShade="D9"/>
                  <w:vAlign w:val="center"/>
                </w:tcPr>
                <w:p w14:paraId="0A3E8309" w14:textId="77777777" w:rsidR="0092151B" w:rsidRPr="00E637EB" w:rsidRDefault="0092151B" w:rsidP="0092151B">
                  <w:pPr>
                    <w:jc w:val="center"/>
                    <w:rPr>
                      <w:rFonts w:ascii="ＭＳ 明朝" w:hAnsi="ＭＳ 明朝"/>
                      <w:color w:val="000000" w:themeColor="text1"/>
                      <w:szCs w:val="21"/>
                    </w:rPr>
                  </w:pPr>
                  <w:r w:rsidRPr="00E637EB">
                    <w:rPr>
                      <w:rFonts w:ascii="ＭＳ 明朝" w:hAnsi="ＭＳ 明朝" w:hint="eastAsia"/>
                      <w:color w:val="000000" w:themeColor="text1"/>
                      <w:szCs w:val="21"/>
                    </w:rPr>
                    <w:t>予定価格に対する割合</w:t>
                  </w:r>
                  <w:r>
                    <w:rPr>
                      <w:rFonts w:ascii="ＭＳ 明朝" w:hAnsi="ＭＳ 明朝" w:hint="eastAsia"/>
                      <w:color w:val="000000" w:themeColor="text1"/>
                      <w:szCs w:val="21"/>
                    </w:rPr>
                    <w:t>及び上限価格</w:t>
                  </w:r>
                  <w:r w:rsidRPr="00B4426B">
                    <w:rPr>
                      <w:rFonts w:ascii="ＭＳ 明朝" w:hAnsi="ＭＳ 明朝" w:hint="eastAsia"/>
                      <w:color w:val="000000" w:themeColor="text1"/>
                      <w:szCs w:val="21"/>
                    </w:rPr>
                    <w:t>（税込み）</w:t>
                  </w:r>
                </w:p>
              </w:tc>
            </w:tr>
            <w:tr w:rsidR="0092151B" w:rsidRPr="00E637EB" w14:paraId="4003DE65" w14:textId="77777777" w:rsidTr="0092151B">
              <w:trPr>
                <w:cantSplit/>
                <w:trHeight w:val="1021"/>
              </w:trPr>
              <w:tc>
                <w:tcPr>
                  <w:tcW w:w="4106" w:type="dxa"/>
                  <w:vAlign w:val="center"/>
                </w:tcPr>
                <w:p w14:paraId="71B580A1" w14:textId="77777777" w:rsidR="0092151B" w:rsidRPr="00E637EB" w:rsidRDefault="0092151B" w:rsidP="0092151B">
                  <w:pPr>
                    <w:jc w:val="center"/>
                    <w:rPr>
                      <w:rFonts w:ascii="ＭＳ 明朝" w:hAnsi="ＭＳ 明朝"/>
                      <w:color w:val="000000" w:themeColor="text1"/>
                      <w:szCs w:val="21"/>
                    </w:rPr>
                  </w:pPr>
                  <w:r>
                    <w:rPr>
                      <w:rFonts w:ascii="ＭＳ 明朝" w:hAnsi="ＭＳ 明朝" w:hint="eastAsia"/>
                      <w:color w:val="000000" w:themeColor="text1"/>
                      <w:szCs w:val="21"/>
                    </w:rPr>
                    <w:t>もと</w:t>
                  </w:r>
                  <w:r w:rsidRPr="00E637EB">
                    <w:rPr>
                      <w:rFonts w:ascii="ＭＳ 明朝" w:hAnsi="ＭＳ 明朝" w:hint="eastAsia"/>
                      <w:color w:val="000000" w:themeColor="text1"/>
                      <w:szCs w:val="21"/>
                    </w:rPr>
                    <w:t>大阪ヘルスケアパビリオンの一部</w:t>
                  </w:r>
                </w:p>
              </w:tc>
              <w:tc>
                <w:tcPr>
                  <w:tcW w:w="1559" w:type="dxa"/>
                  <w:vAlign w:val="center"/>
                </w:tcPr>
                <w:p w14:paraId="5B14899D" w14:textId="77777777" w:rsidR="0092151B" w:rsidRPr="00E34B7A" w:rsidRDefault="0092151B" w:rsidP="0092151B">
                  <w:pPr>
                    <w:jc w:val="center"/>
                    <w:rPr>
                      <w:rFonts w:ascii="ＭＳ 明朝" w:hAnsi="ＭＳ 明朝"/>
                      <w:color w:val="000000" w:themeColor="text1"/>
                      <w:szCs w:val="21"/>
                    </w:rPr>
                  </w:pPr>
                  <w:r w:rsidRPr="00E34B7A">
                    <w:rPr>
                      <w:rFonts w:ascii="ＭＳ 明朝" w:hAnsi="ＭＳ 明朝" w:hint="eastAsia"/>
                      <w:color w:val="000000" w:themeColor="text1"/>
                      <w:szCs w:val="21"/>
                    </w:rPr>
                    <w:t>鉄骨造</w:t>
                  </w:r>
                </w:p>
              </w:tc>
              <w:tc>
                <w:tcPr>
                  <w:tcW w:w="3402" w:type="dxa"/>
                  <w:vAlign w:val="center"/>
                </w:tcPr>
                <w:p w14:paraId="3DF01FE1" w14:textId="77777777" w:rsidR="0092151B" w:rsidRPr="00E34B7A" w:rsidRDefault="0092151B" w:rsidP="0092151B">
                  <w:pPr>
                    <w:jc w:val="center"/>
                    <w:rPr>
                      <w:rFonts w:ascii="ＭＳ 明朝" w:hAnsi="ＭＳ 明朝"/>
                      <w:color w:val="000000" w:themeColor="text1"/>
                      <w:szCs w:val="21"/>
                    </w:rPr>
                  </w:pPr>
                  <w:r w:rsidRPr="0092151B">
                    <w:rPr>
                      <w:rFonts w:ascii="ＭＳ 明朝" w:hAnsi="ＭＳ 明朝" w:hint="eastAsia"/>
                      <w:color w:val="FF0000"/>
                      <w:szCs w:val="21"/>
                    </w:rPr>
                    <w:t>後日公表（※）</w:t>
                  </w:r>
                </w:p>
              </w:tc>
            </w:tr>
            <w:bookmarkEnd w:id="0"/>
          </w:tbl>
          <w:p w14:paraId="1E37D136" w14:textId="77777777" w:rsidR="00EF4BB2" w:rsidRDefault="00EF4BB2" w:rsidP="00EF4BB2"/>
          <w:p w14:paraId="5E61B458" w14:textId="77777777" w:rsidR="00EF4BB2" w:rsidRDefault="00EF4BB2" w:rsidP="00EF4BB2">
            <w:r w:rsidRPr="00EF4BB2">
              <w:rPr>
                <w:rFonts w:hint="eastAsia"/>
                <w:color w:val="FF0000"/>
              </w:rPr>
              <w:t>※予定価格及び本件土地、本件工作物の予定価格に対する割合等は令和８年２月</w:t>
            </w:r>
            <w:r w:rsidRPr="00EF4BB2">
              <w:rPr>
                <w:color w:val="FF0000"/>
              </w:rPr>
              <w:t>26日（木）の公表を予定しています。</w:t>
            </w:r>
          </w:p>
          <w:p w14:paraId="655088DB" w14:textId="77777777" w:rsidR="00EF4BB2" w:rsidRDefault="00EF4BB2" w:rsidP="00EF4BB2">
            <w:r>
              <w:rPr>
                <w:rFonts w:hint="eastAsia"/>
              </w:rPr>
              <w:t>・本件土地及び本件工作物について、それぞれ売買契約を締結するものとし、売却価格は、提案を受けた価格にそれぞれの予定価格に対する割合を乗じた額とします。また、円未満の端数が生じた場合は本件土地の額を切上げ、本件工作物の額を切捨てることとします。</w:t>
            </w:r>
          </w:p>
          <w:p w14:paraId="65E5CF7E" w14:textId="5D9F212F" w:rsidR="00EF4BB2" w:rsidRDefault="00EF4BB2" w:rsidP="00EF4BB2">
            <w:r>
              <w:rPr>
                <w:rFonts w:hint="eastAsia"/>
              </w:rPr>
              <w:t>・</w:t>
            </w:r>
            <w:r w:rsidRPr="00CF5AE1">
              <w:rPr>
                <w:rFonts w:hint="eastAsia"/>
              </w:rPr>
              <w:t>ただし、提</w:t>
            </w:r>
            <w:r>
              <w:rPr>
                <w:rFonts w:hint="eastAsia"/>
              </w:rPr>
              <w:t>案を受けた価格に本件工作物の予定価格に対する割合を乗じた額が、本件工作物の上限価格を上回る場合は、上限価格を本件工作物の売却価格とし、提案を受けた価格から本件工作物の上限価格を差し引いた価格を本件土地の売却価格とします。</w:t>
            </w:r>
          </w:p>
        </w:tc>
        <w:tc>
          <w:tcPr>
            <w:tcW w:w="9214" w:type="dxa"/>
          </w:tcPr>
          <w:p w14:paraId="70D7686C" w14:textId="77777777" w:rsidR="00EF4BB2" w:rsidRDefault="00EF4BB2" w:rsidP="00EF4BB2">
            <w:r>
              <w:rPr>
                <w:rFonts w:hint="eastAsia"/>
              </w:rPr>
              <w:t>２．本募集の売却対象物件</w:t>
            </w:r>
          </w:p>
          <w:p w14:paraId="12CDFC29" w14:textId="77777777" w:rsidR="00EF4BB2" w:rsidRDefault="00EF4BB2" w:rsidP="00EF4BB2">
            <w:r>
              <w:rPr>
                <w:rFonts w:hint="eastAsia"/>
              </w:rPr>
              <w:t>・売却対象物件：土地及び準用工作物</w:t>
            </w:r>
          </w:p>
          <w:p w14:paraId="034F6D5E" w14:textId="77777777" w:rsidR="00EF4BB2" w:rsidRDefault="00EF4BB2" w:rsidP="00EF4BB2">
            <w:r>
              <w:rPr>
                <w:rFonts w:hint="eastAsia"/>
              </w:rPr>
              <w:t>詳しくは【物件調書（土地）】及び【物件調書（準用工作物）】をご覧ください。</w:t>
            </w:r>
          </w:p>
          <w:p w14:paraId="192352AB" w14:textId="0C7491F9" w:rsidR="00EF4BB2" w:rsidRDefault="00EF4BB2" w:rsidP="00EF4BB2">
            <w:r>
              <w:rPr>
                <w:rFonts w:hint="eastAsia"/>
              </w:rPr>
              <w:t>・予定価格：</w:t>
            </w:r>
            <w:r w:rsidR="00AA3EBA">
              <w:rPr>
                <w:rFonts w:ascii="ＭＳ 明朝" w:eastAsia="ＭＳ 明朝" w:hAnsi="ＭＳ 明朝" w:hint="eastAsia"/>
                <w:color w:val="FF0000"/>
                <w:szCs w:val="21"/>
              </w:rPr>
              <w:t>4,713,250,000</w:t>
            </w:r>
            <w:r w:rsidRPr="000B6B9B">
              <w:rPr>
                <w:rFonts w:ascii="ＭＳ 明朝" w:eastAsia="ＭＳ 明朝" w:hAnsi="ＭＳ 明朝" w:hint="eastAsia"/>
                <w:color w:val="FF0000"/>
              </w:rPr>
              <w:t>円</w:t>
            </w:r>
          </w:p>
          <w:p w14:paraId="7B272158" w14:textId="77777777" w:rsidR="00EF4BB2" w:rsidRDefault="00EF4BB2" w:rsidP="00EF4BB2"/>
          <w:p w14:paraId="273718CB" w14:textId="77777777" w:rsidR="00EF4BB2" w:rsidRDefault="00EF4BB2" w:rsidP="00EF4BB2">
            <w:r>
              <w:rPr>
                <w:rFonts w:hint="eastAsia"/>
              </w:rPr>
              <w:t>売却対象土地（以下「本件土地」という。）</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992"/>
              <w:gridCol w:w="1559"/>
              <w:gridCol w:w="1559"/>
              <w:gridCol w:w="1418"/>
              <w:gridCol w:w="1984"/>
            </w:tblGrid>
            <w:tr w:rsidR="0092151B" w:rsidRPr="00E637EB" w14:paraId="01F4418B" w14:textId="77777777" w:rsidTr="0092151B">
              <w:trPr>
                <w:cantSplit/>
                <w:trHeight w:val="907"/>
                <w:jc w:val="center"/>
              </w:trPr>
              <w:tc>
                <w:tcPr>
                  <w:tcW w:w="1555" w:type="dxa"/>
                  <w:shd w:val="clear" w:color="auto" w:fill="D9D9D9" w:themeFill="background1" w:themeFillShade="D9"/>
                  <w:vAlign w:val="center"/>
                </w:tcPr>
                <w:p w14:paraId="243244F7" w14:textId="77777777" w:rsidR="0092151B" w:rsidRPr="00E637EB" w:rsidRDefault="0092151B" w:rsidP="0092151B">
                  <w:pPr>
                    <w:jc w:val="center"/>
                    <w:rPr>
                      <w:rFonts w:ascii="ＭＳ 明朝" w:hAnsi="ＭＳ 明朝"/>
                      <w:color w:val="000000" w:themeColor="text1"/>
                      <w:szCs w:val="21"/>
                    </w:rPr>
                  </w:pPr>
                  <w:r>
                    <w:rPr>
                      <w:rFonts w:ascii="ＭＳ 明朝" w:hAnsi="ＭＳ 明朝" w:hint="eastAsia"/>
                      <w:color w:val="000000" w:themeColor="text1"/>
                      <w:szCs w:val="21"/>
                    </w:rPr>
                    <w:t>所在地</w:t>
                  </w:r>
                </w:p>
              </w:tc>
              <w:tc>
                <w:tcPr>
                  <w:tcW w:w="992" w:type="dxa"/>
                  <w:shd w:val="clear" w:color="auto" w:fill="D9D9D9" w:themeFill="background1" w:themeFillShade="D9"/>
                  <w:vAlign w:val="center"/>
                </w:tcPr>
                <w:p w14:paraId="378C8309" w14:textId="77777777" w:rsidR="0092151B" w:rsidRPr="00E637EB" w:rsidRDefault="0092151B" w:rsidP="0092151B">
                  <w:pPr>
                    <w:jc w:val="center"/>
                    <w:rPr>
                      <w:rFonts w:ascii="ＭＳ 明朝" w:hAnsi="ＭＳ 明朝"/>
                      <w:color w:val="000000" w:themeColor="text1"/>
                      <w:szCs w:val="21"/>
                    </w:rPr>
                  </w:pPr>
                  <w:r w:rsidRPr="00E637EB">
                    <w:rPr>
                      <w:rFonts w:ascii="ＭＳ 明朝" w:hAnsi="ＭＳ 明朝" w:hint="eastAsia"/>
                      <w:color w:val="000000" w:themeColor="text1"/>
                      <w:szCs w:val="21"/>
                    </w:rPr>
                    <w:t>地目</w:t>
                  </w:r>
                </w:p>
              </w:tc>
              <w:tc>
                <w:tcPr>
                  <w:tcW w:w="1559" w:type="dxa"/>
                  <w:shd w:val="clear" w:color="auto" w:fill="D9D9D9" w:themeFill="background1" w:themeFillShade="D9"/>
                  <w:vAlign w:val="center"/>
                </w:tcPr>
                <w:p w14:paraId="248BB8CD" w14:textId="77777777" w:rsidR="0092151B" w:rsidRPr="00E637EB" w:rsidRDefault="0092151B" w:rsidP="0092151B">
                  <w:pPr>
                    <w:jc w:val="center"/>
                    <w:rPr>
                      <w:rFonts w:ascii="ＭＳ 明朝" w:hAnsi="ＭＳ 明朝"/>
                      <w:color w:val="000000" w:themeColor="text1"/>
                      <w:szCs w:val="21"/>
                    </w:rPr>
                  </w:pPr>
                  <w:r w:rsidRPr="00E637EB">
                    <w:rPr>
                      <w:rFonts w:ascii="ＭＳ 明朝" w:hAnsi="ＭＳ 明朝" w:hint="eastAsia"/>
                      <w:color w:val="000000" w:themeColor="text1"/>
                      <w:szCs w:val="21"/>
                    </w:rPr>
                    <w:t>地積</w:t>
                  </w:r>
                </w:p>
              </w:tc>
              <w:tc>
                <w:tcPr>
                  <w:tcW w:w="1559" w:type="dxa"/>
                  <w:tcBorders>
                    <w:bottom w:val="single" w:sz="4" w:space="0" w:color="auto"/>
                  </w:tcBorders>
                  <w:shd w:val="clear" w:color="auto" w:fill="D9D9D9" w:themeFill="background1" w:themeFillShade="D9"/>
                  <w:vAlign w:val="center"/>
                </w:tcPr>
                <w:p w14:paraId="1F3D63B8" w14:textId="77777777" w:rsidR="0092151B" w:rsidRPr="00F0122E" w:rsidRDefault="0092151B" w:rsidP="0092151B">
                  <w:pPr>
                    <w:jc w:val="center"/>
                    <w:rPr>
                      <w:rFonts w:ascii="ＭＳ 明朝" w:hAnsi="ＭＳ 明朝"/>
                      <w:color w:val="000000" w:themeColor="text1"/>
                      <w:szCs w:val="21"/>
                    </w:rPr>
                  </w:pPr>
                  <w:r w:rsidRPr="00E637EB">
                    <w:rPr>
                      <w:rFonts w:ascii="ＭＳ 明朝" w:hAnsi="ＭＳ 明朝" w:hint="eastAsia"/>
                      <w:color w:val="000000" w:themeColor="text1"/>
                      <w:szCs w:val="21"/>
                    </w:rPr>
                    <w:t>用途地域等</w:t>
                  </w:r>
                </w:p>
              </w:tc>
              <w:tc>
                <w:tcPr>
                  <w:tcW w:w="1418" w:type="dxa"/>
                  <w:shd w:val="clear" w:color="auto" w:fill="D9D9D9" w:themeFill="background1" w:themeFillShade="D9"/>
                  <w:vAlign w:val="center"/>
                </w:tcPr>
                <w:p w14:paraId="11275C1E" w14:textId="77777777" w:rsidR="0092151B" w:rsidRPr="00E637EB" w:rsidRDefault="0092151B" w:rsidP="0092151B">
                  <w:pPr>
                    <w:jc w:val="center"/>
                    <w:rPr>
                      <w:rFonts w:ascii="ＭＳ 明朝" w:hAnsi="ＭＳ 明朝"/>
                      <w:color w:val="000000" w:themeColor="text1"/>
                      <w:szCs w:val="21"/>
                    </w:rPr>
                  </w:pPr>
                  <w:r w:rsidRPr="00E637EB">
                    <w:rPr>
                      <w:rFonts w:ascii="ＭＳ 明朝" w:hAnsi="ＭＳ 明朝" w:hint="eastAsia"/>
                      <w:color w:val="000000" w:themeColor="text1"/>
                      <w:szCs w:val="21"/>
                    </w:rPr>
                    <w:t>建ぺい率</w:t>
                  </w:r>
                  <w:r w:rsidRPr="00E637EB">
                    <w:rPr>
                      <w:rFonts w:ascii="ＭＳ 明朝" w:hAnsi="ＭＳ 明朝"/>
                      <w:color w:val="000000" w:themeColor="text1"/>
                      <w:szCs w:val="21"/>
                    </w:rPr>
                    <w:t>/</w:t>
                  </w:r>
                </w:p>
                <w:p w14:paraId="2E05AF4F" w14:textId="77777777" w:rsidR="0092151B" w:rsidRPr="00E637EB" w:rsidRDefault="0092151B" w:rsidP="0092151B">
                  <w:pPr>
                    <w:jc w:val="center"/>
                    <w:rPr>
                      <w:rFonts w:ascii="ＭＳ 明朝" w:hAnsi="ＭＳ 明朝"/>
                      <w:color w:val="000000" w:themeColor="text1"/>
                      <w:szCs w:val="21"/>
                    </w:rPr>
                  </w:pPr>
                  <w:r w:rsidRPr="00E637EB">
                    <w:rPr>
                      <w:rFonts w:ascii="ＭＳ 明朝" w:hAnsi="ＭＳ 明朝" w:hint="eastAsia"/>
                      <w:color w:val="000000" w:themeColor="text1"/>
                      <w:szCs w:val="21"/>
                    </w:rPr>
                    <w:t>指定容積率</w:t>
                  </w:r>
                </w:p>
              </w:tc>
              <w:tc>
                <w:tcPr>
                  <w:tcW w:w="1984" w:type="dxa"/>
                  <w:shd w:val="clear" w:color="auto" w:fill="D9D9D9" w:themeFill="background1" w:themeFillShade="D9"/>
                  <w:vAlign w:val="center"/>
                </w:tcPr>
                <w:p w14:paraId="2B233D52" w14:textId="77777777" w:rsidR="0092151B" w:rsidRPr="00E637EB" w:rsidRDefault="0092151B" w:rsidP="0092151B">
                  <w:pPr>
                    <w:jc w:val="center"/>
                    <w:rPr>
                      <w:rFonts w:ascii="ＭＳ 明朝" w:hAnsi="ＭＳ 明朝"/>
                      <w:strike/>
                      <w:color w:val="000000" w:themeColor="text1"/>
                      <w:szCs w:val="21"/>
                    </w:rPr>
                  </w:pPr>
                  <w:r w:rsidRPr="00E637EB">
                    <w:rPr>
                      <w:rFonts w:ascii="ＭＳ 明朝" w:hAnsi="ＭＳ 明朝" w:hint="eastAsia"/>
                      <w:color w:val="000000" w:themeColor="text1"/>
                      <w:szCs w:val="21"/>
                    </w:rPr>
                    <w:t>予定価格に対する割合</w:t>
                  </w:r>
                </w:p>
              </w:tc>
            </w:tr>
            <w:tr w:rsidR="0092151B" w:rsidRPr="00E637EB" w14:paraId="7F48765A" w14:textId="77777777" w:rsidTr="0092151B">
              <w:trPr>
                <w:cantSplit/>
                <w:trHeight w:val="851"/>
                <w:jc w:val="center"/>
              </w:trPr>
              <w:tc>
                <w:tcPr>
                  <w:tcW w:w="1555" w:type="dxa"/>
                  <w:vAlign w:val="center"/>
                </w:tcPr>
                <w:p w14:paraId="1283214E" w14:textId="77777777" w:rsidR="0092151B" w:rsidRPr="00E637EB" w:rsidRDefault="0092151B" w:rsidP="0092151B">
                  <w:pPr>
                    <w:jc w:val="center"/>
                    <w:rPr>
                      <w:rFonts w:ascii="ＭＳ 明朝" w:hAnsi="ＭＳ 明朝"/>
                      <w:color w:val="000000" w:themeColor="text1"/>
                      <w:szCs w:val="21"/>
                    </w:rPr>
                  </w:pPr>
                  <w:r>
                    <w:rPr>
                      <w:rFonts w:ascii="ＭＳ 明朝" w:hAnsi="ＭＳ 明朝" w:hint="eastAsia"/>
                      <w:color w:val="000000" w:themeColor="text1"/>
                      <w:szCs w:val="21"/>
                    </w:rPr>
                    <w:t>此花区</w:t>
                  </w:r>
                  <w:r w:rsidRPr="00E637EB">
                    <w:rPr>
                      <w:rFonts w:ascii="ＭＳ 明朝" w:hAnsi="ＭＳ 明朝" w:hint="eastAsia"/>
                      <w:color w:val="000000" w:themeColor="text1"/>
                      <w:szCs w:val="21"/>
                    </w:rPr>
                    <w:t>夢洲中一丁目</w:t>
                  </w:r>
                </w:p>
                <w:p w14:paraId="4BA15C78" w14:textId="77777777" w:rsidR="0092151B" w:rsidRPr="00E637EB" w:rsidRDefault="0092151B" w:rsidP="0092151B">
                  <w:pPr>
                    <w:jc w:val="center"/>
                    <w:rPr>
                      <w:rFonts w:ascii="ＭＳ 明朝" w:hAnsi="ＭＳ 明朝"/>
                      <w:color w:val="000000" w:themeColor="text1"/>
                      <w:szCs w:val="21"/>
                    </w:rPr>
                  </w:pPr>
                  <w:r w:rsidRPr="00E637EB">
                    <w:rPr>
                      <w:rFonts w:ascii="ＭＳ 明朝" w:hAnsi="ＭＳ 明朝" w:hint="eastAsia"/>
                      <w:color w:val="000000" w:themeColor="text1"/>
                      <w:szCs w:val="21"/>
                    </w:rPr>
                    <w:t>１番</w:t>
                  </w:r>
                  <w:r>
                    <w:rPr>
                      <w:rFonts w:ascii="ＭＳ 明朝" w:hAnsi="ＭＳ 明朝" w:hint="eastAsia"/>
                      <w:color w:val="000000" w:themeColor="text1"/>
                      <w:szCs w:val="21"/>
                    </w:rPr>
                    <w:t>50</w:t>
                  </w:r>
                </w:p>
              </w:tc>
              <w:tc>
                <w:tcPr>
                  <w:tcW w:w="992" w:type="dxa"/>
                  <w:vAlign w:val="center"/>
                </w:tcPr>
                <w:p w14:paraId="08653BBE" w14:textId="77777777" w:rsidR="0092151B" w:rsidRPr="00E637EB" w:rsidRDefault="0092151B" w:rsidP="0092151B">
                  <w:pPr>
                    <w:jc w:val="center"/>
                    <w:rPr>
                      <w:rFonts w:ascii="ＭＳ 明朝" w:hAnsi="ＭＳ 明朝"/>
                      <w:color w:val="000000" w:themeColor="text1"/>
                      <w:szCs w:val="21"/>
                    </w:rPr>
                  </w:pPr>
                  <w:r w:rsidRPr="00E637EB">
                    <w:rPr>
                      <w:rFonts w:ascii="ＭＳ 明朝" w:hAnsi="ＭＳ 明朝" w:hint="eastAsia"/>
                      <w:color w:val="000000" w:themeColor="text1"/>
                      <w:szCs w:val="21"/>
                    </w:rPr>
                    <w:t>雑種地</w:t>
                  </w:r>
                </w:p>
              </w:tc>
              <w:tc>
                <w:tcPr>
                  <w:tcW w:w="1559" w:type="dxa"/>
                  <w:vAlign w:val="center"/>
                </w:tcPr>
                <w:p w14:paraId="2EB19AD4" w14:textId="77777777" w:rsidR="0092151B" w:rsidRPr="00E637EB" w:rsidRDefault="0092151B" w:rsidP="0092151B">
                  <w:pPr>
                    <w:jc w:val="center"/>
                    <w:rPr>
                      <w:rFonts w:ascii="ＭＳ 明朝" w:hAnsi="ＭＳ 明朝"/>
                      <w:color w:val="000000" w:themeColor="text1"/>
                      <w:szCs w:val="21"/>
                    </w:rPr>
                  </w:pPr>
                  <w:r>
                    <w:rPr>
                      <w:rFonts w:ascii="ＭＳ 明朝" w:hAnsi="ＭＳ 明朝" w:hint="eastAsia"/>
                      <w:color w:val="000000" w:themeColor="text1"/>
                      <w:szCs w:val="21"/>
                    </w:rPr>
                    <w:t>15,181.67</w:t>
                  </w:r>
                  <w:r w:rsidRPr="00E637EB">
                    <w:rPr>
                      <w:rFonts w:ascii="ＭＳ 明朝" w:hAnsi="ＭＳ 明朝"/>
                      <w:color w:val="000000" w:themeColor="text1"/>
                      <w:szCs w:val="21"/>
                    </w:rPr>
                    <w:t>㎡</w:t>
                  </w:r>
                  <w:r w:rsidRPr="00E637EB">
                    <w:rPr>
                      <w:rFonts w:ascii="ＭＳ 明朝" w:hAnsi="ＭＳ 明朝"/>
                      <w:color w:val="000000" w:themeColor="text1"/>
                      <w:szCs w:val="21"/>
                    </w:rPr>
                    <w:t xml:space="preserve"> </w:t>
                  </w:r>
                </w:p>
              </w:tc>
              <w:tc>
                <w:tcPr>
                  <w:tcW w:w="1559" w:type="dxa"/>
                  <w:tcBorders>
                    <w:top w:val="single" w:sz="4" w:space="0" w:color="auto"/>
                  </w:tcBorders>
                  <w:vAlign w:val="center"/>
                </w:tcPr>
                <w:p w14:paraId="6E8D7055" w14:textId="77777777" w:rsidR="0092151B" w:rsidRPr="00E637EB" w:rsidRDefault="0092151B" w:rsidP="0092151B">
                  <w:pPr>
                    <w:jc w:val="center"/>
                    <w:rPr>
                      <w:rFonts w:ascii="ＭＳ 明朝" w:hAnsi="ＭＳ 明朝"/>
                      <w:color w:val="000000" w:themeColor="text1"/>
                      <w:szCs w:val="21"/>
                    </w:rPr>
                  </w:pPr>
                  <w:r w:rsidRPr="00E637EB">
                    <w:rPr>
                      <w:rFonts w:ascii="ＭＳ 明朝" w:hAnsi="ＭＳ 明朝" w:hint="eastAsia"/>
                      <w:color w:val="000000" w:themeColor="text1"/>
                      <w:szCs w:val="21"/>
                    </w:rPr>
                    <w:t>商業地域</w:t>
                  </w:r>
                </w:p>
                <w:p w14:paraId="431B6B5C" w14:textId="77777777" w:rsidR="0092151B" w:rsidRPr="00F0122E" w:rsidRDefault="0092151B" w:rsidP="0092151B">
                  <w:pPr>
                    <w:jc w:val="center"/>
                    <w:rPr>
                      <w:rFonts w:ascii="ＭＳ 明朝" w:hAnsi="ＭＳ 明朝"/>
                      <w:color w:val="000000" w:themeColor="text1"/>
                      <w:szCs w:val="21"/>
                    </w:rPr>
                  </w:pPr>
                  <w:r w:rsidRPr="00E637EB">
                    <w:rPr>
                      <w:rFonts w:ascii="ＭＳ 明朝" w:hAnsi="ＭＳ 明朝" w:hint="eastAsia"/>
                      <w:color w:val="000000" w:themeColor="text1"/>
                      <w:szCs w:val="21"/>
                    </w:rPr>
                    <w:t>国際観光地区</w:t>
                  </w:r>
                </w:p>
              </w:tc>
              <w:tc>
                <w:tcPr>
                  <w:tcW w:w="1418" w:type="dxa"/>
                  <w:vAlign w:val="center"/>
                </w:tcPr>
                <w:p w14:paraId="0DF27347" w14:textId="77777777" w:rsidR="0092151B" w:rsidRPr="00E637EB" w:rsidRDefault="0092151B" w:rsidP="0092151B">
                  <w:pPr>
                    <w:jc w:val="center"/>
                    <w:rPr>
                      <w:rFonts w:ascii="ＭＳ 明朝" w:hAnsi="ＭＳ 明朝"/>
                      <w:color w:val="000000" w:themeColor="text1"/>
                      <w:szCs w:val="21"/>
                    </w:rPr>
                  </w:pPr>
                  <w:r w:rsidRPr="00E637EB">
                    <w:rPr>
                      <w:rFonts w:ascii="ＭＳ 明朝" w:hAnsi="ＭＳ 明朝"/>
                      <w:color w:val="000000" w:themeColor="text1"/>
                      <w:szCs w:val="21"/>
                    </w:rPr>
                    <w:t>80%/</w:t>
                  </w:r>
                </w:p>
                <w:p w14:paraId="293D2FE1" w14:textId="77777777" w:rsidR="0092151B" w:rsidRPr="00E637EB" w:rsidRDefault="0092151B" w:rsidP="0092151B">
                  <w:pPr>
                    <w:jc w:val="center"/>
                    <w:rPr>
                      <w:rFonts w:ascii="ＭＳ 明朝" w:hAnsi="ＭＳ 明朝"/>
                      <w:color w:val="000000" w:themeColor="text1"/>
                      <w:szCs w:val="21"/>
                    </w:rPr>
                  </w:pPr>
                  <w:r w:rsidRPr="00E637EB">
                    <w:rPr>
                      <w:rFonts w:ascii="ＭＳ 明朝" w:hAnsi="ＭＳ 明朝"/>
                      <w:color w:val="000000" w:themeColor="text1"/>
                      <w:szCs w:val="21"/>
                    </w:rPr>
                    <w:t>400%</w:t>
                  </w:r>
                </w:p>
              </w:tc>
              <w:tc>
                <w:tcPr>
                  <w:tcW w:w="1984" w:type="dxa"/>
                  <w:vAlign w:val="center"/>
                </w:tcPr>
                <w:p w14:paraId="2B629059" w14:textId="3B27F2DA" w:rsidR="0092151B" w:rsidRPr="00E637EB" w:rsidRDefault="0071619A" w:rsidP="0092151B">
                  <w:pPr>
                    <w:jc w:val="center"/>
                    <w:rPr>
                      <w:rFonts w:ascii="ＭＳ 明朝" w:hAnsi="ＭＳ 明朝"/>
                      <w:color w:val="000000" w:themeColor="text1"/>
                      <w:szCs w:val="21"/>
                    </w:rPr>
                  </w:pPr>
                  <w:r w:rsidRPr="0071619A">
                    <w:rPr>
                      <w:rFonts w:ascii="ＭＳ 明朝" w:hAnsi="ＭＳ 明朝" w:hint="eastAsia"/>
                      <w:color w:val="FF0000"/>
                      <w:szCs w:val="21"/>
                    </w:rPr>
                    <w:t>89.44</w:t>
                  </w:r>
                  <w:r w:rsidRPr="0071619A">
                    <w:rPr>
                      <w:rFonts w:ascii="ＭＳ 明朝" w:hAnsi="ＭＳ 明朝" w:hint="eastAsia"/>
                      <w:color w:val="FF0000"/>
                      <w:szCs w:val="21"/>
                    </w:rPr>
                    <w:t>％</w:t>
                  </w:r>
                </w:p>
              </w:tc>
            </w:tr>
          </w:tbl>
          <w:p w14:paraId="07BEE5E9" w14:textId="77777777" w:rsidR="00EF4BB2" w:rsidRDefault="00EF4BB2" w:rsidP="00EF4BB2"/>
          <w:p w14:paraId="4186DE08" w14:textId="77777777" w:rsidR="00EF4BB2" w:rsidRDefault="00EF4BB2" w:rsidP="00EF4BB2">
            <w:r>
              <w:rPr>
                <w:rFonts w:hint="eastAsia"/>
              </w:rPr>
              <w:t>売却対象準用工作物（以下「本件工作物」という。）</w:t>
            </w:r>
          </w:p>
          <w:tbl>
            <w:tblPr>
              <w:tblpPr w:leftFromText="142" w:rightFromText="142" w:vertAnchor="text" w:horzAnchor="page" w:tblpXSpec="center" w:tblpY="74"/>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6"/>
              <w:gridCol w:w="1559"/>
              <w:gridCol w:w="3402"/>
            </w:tblGrid>
            <w:tr w:rsidR="0092151B" w:rsidRPr="00E637EB" w14:paraId="51952A6C" w14:textId="77777777" w:rsidTr="0092151B">
              <w:trPr>
                <w:cantSplit/>
                <w:trHeight w:val="694"/>
              </w:trPr>
              <w:tc>
                <w:tcPr>
                  <w:tcW w:w="4106" w:type="dxa"/>
                  <w:shd w:val="clear" w:color="auto" w:fill="D9D9D9" w:themeFill="background1" w:themeFillShade="D9"/>
                  <w:vAlign w:val="center"/>
                </w:tcPr>
                <w:p w14:paraId="5AE8F504" w14:textId="77777777" w:rsidR="0092151B" w:rsidRPr="00E637EB" w:rsidRDefault="0092151B" w:rsidP="0092151B">
                  <w:pPr>
                    <w:jc w:val="center"/>
                    <w:rPr>
                      <w:rFonts w:ascii="ＭＳ 明朝" w:hAnsi="ＭＳ 明朝"/>
                      <w:color w:val="000000" w:themeColor="text1"/>
                      <w:szCs w:val="21"/>
                    </w:rPr>
                  </w:pPr>
                  <w:r w:rsidRPr="00E34B7A">
                    <w:rPr>
                      <w:rFonts w:ascii="ＭＳ 明朝" w:hAnsi="ＭＳ 明朝" w:hint="eastAsia"/>
                      <w:color w:val="000000" w:themeColor="text1"/>
                      <w:szCs w:val="21"/>
                    </w:rPr>
                    <w:t>名称</w:t>
                  </w:r>
                </w:p>
              </w:tc>
              <w:tc>
                <w:tcPr>
                  <w:tcW w:w="1559" w:type="dxa"/>
                  <w:shd w:val="clear" w:color="auto" w:fill="D9D9D9" w:themeFill="background1" w:themeFillShade="D9"/>
                  <w:vAlign w:val="center"/>
                </w:tcPr>
                <w:p w14:paraId="360C823B" w14:textId="77777777" w:rsidR="0092151B" w:rsidRPr="00E637EB" w:rsidRDefault="0092151B" w:rsidP="0092151B">
                  <w:pPr>
                    <w:jc w:val="center"/>
                    <w:rPr>
                      <w:rFonts w:ascii="ＭＳ 明朝" w:hAnsi="ＭＳ 明朝"/>
                      <w:color w:val="000000" w:themeColor="text1"/>
                      <w:szCs w:val="21"/>
                    </w:rPr>
                  </w:pPr>
                  <w:r w:rsidRPr="00E637EB">
                    <w:rPr>
                      <w:rFonts w:ascii="ＭＳ 明朝" w:hAnsi="ＭＳ 明朝" w:hint="eastAsia"/>
                      <w:color w:val="000000" w:themeColor="text1"/>
                      <w:szCs w:val="21"/>
                    </w:rPr>
                    <w:t>構造</w:t>
                  </w:r>
                </w:p>
              </w:tc>
              <w:tc>
                <w:tcPr>
                  <w:tcW w:w="3402" w:type="dxa"/>
                  <w:shd w:val="clear" w:color="auto" w:fill="D9D9D9" w:themeFill="background1" w:themeFillShade="D9"/>
                  <w:vAlign w:val="center"/>
                </w:tcPr>
                <w:p w14:paraId="18ECDADE" w14:textId="77777777" w:rsidR="0092151B" w:rsidRPr="00E637EB" w:rsidRDefault="0092151B" w:rsidP="0092151B">
                  <w:pPr>
                    <w:jc w:val="center"/>
                    <w:rPr>
                      <w:rFonts w:ascii="ＭＳ 明朝" w:hAnsi="ＭＳ 明朝"/>
                      <w:color w:val="000000" w:themeColor="text1"/>
                      <w:szCs w:val="21"/>
                    </w:rPr>
                  </w:pPr>
                  <w:r w:rsidRPr="00E637EB">
                    <w:rPr>
                      <w:rFonts w:ascii="ＭＳ 明朝" w:hAnsi="ＭＳ 明朝" w:hint="eastAsia"/>
                      <w:color w:val="000000" w:themeColor="text1"/>
                      <w:szCs w:val="21"/>
                    </w:rPr>
                    <w:t>予定価格に対する割合</w:t>
                  </w:r>
                  <w:r>
                    <w:rPr>
                      <w:rFonts w:ascii="ＭＳ 明朝" w:hAnsi="ＭＳ 明朝" w:hint="eastAsia"/>
                      <w:color w:val="000000" w:themeColor="text1"/>
                      <w:szCs w:val="21"/>
                    </w:rPr>
                    <w:t>及び上限価格</w:t>
                  </w:r>
                  <w:r w:rsidRPr="00B4426B">
                    <w:rPr>
                      <w:rFonts w:ascii="ＭＳ 明朝" w:hAnsi="ＭＳ 明朝" w:hint="eastAsia"/>
                      <w:color w:val="000000" w:themeColor="text1"/>
                      <w:szCs w:val="21"/>
                    </w:rPr>
                    <w:t>（税込み）</w:t>
                  </w:r>
                </w:p>
              </w:tc>
            </w:tr>
            <w:tr w:rsidR="0092151B" w:rsidRPr="00E637EB" w14:paraId="2D91F04D" w14:textId="77777777" w:rsidTr="0092151B">
              <w:trPr>
                <w:cantSplit/>
                <w:trHeight w:val="1021"/>
              </w:trPr>
              <w:tc>
                <w:tcPr>
                  <w:tcW w:w="4106" w:type="dxa"/>
                  <w:vAlign w:val="center"/>
                </w:tcPr>
                <w:p w14:paraId="62895EC7" w14:textId="77777777" w:rsidR="0092151B" w:rsidRPr="00E637EB" w:rsidRDefault="0092151B" w:rsidP="0092151B">
                  <w:pPr>
                    <w:jc w:val="center"/>
                    <w:rPr>
                      <w:rFonts w:ascii="ＭＳ 明朝" w:hAnsi="ＭＳ 明朝"/>
                      <w:color w:val="000000" w:themeColor="text1"/>
                      <w:szCs w:val="21"/>
                    </w:rPr>
                  </w:pPr>
                  <w:r>
                    <w:rPr>
                      <w:rFonts w:ascii="ＭＳ 明朝" w:hAnsi="ＭＳ 明朝" w:hint="eastAsia"/>
                      <w:color w:val="000000" w:themeColor="text1"/>
                      <w:szCs w:val="21"/>
                    </w:rPr>
                    <w:t>もと</w:t>
                  </w:r>
                  <w:r w:rsidRPr="00E637EB">
                    <w:rPr>
                      <w:rFonts w:ascii="ＭＳ 明朝" w:hAnsi="ＭＳ 明朝" w:hint="eastAsia"/>
                      <w:color w:val="000000" w:themeColor="text1"/>
                      <w:szCs w:val="21"/>
                    </w:rPr>
                    <w:t>大阪ヘルスケアパビリオンの一部</w:t>
                  </w:r>
                </w:p>
              </w:tc>
              <w:tc>
                <w:tcPr>
                  <w:tcW w:w="1559" w:type="dxa"/>
                  <w:vAlign w:val="center"/>
                </w:tcPr>
                <w:p w14:paraId="4B05E790" w14:textId="77777777" w:rsidR="0092151B" w:rsidRPr="00E34B7A" w:rsidRDefault="0092151B" w:rsidP="0092151B">
                  <w:pPr>
                    <w:jc w:val="center"/>
                    <w:rPr>
                      <w:rFonts w:ascii="ＭＳ 明朝" w:hAnsi="ＭＳ 明朝"/>
                      <w:color w:val="000000" w:themeColor="text1"/>
                      <w:szCs w:val="21"/>
                    </w:rPr>
                  </w:pPr>
                  <w:r w:rsidRPr="00E34B7A">
                    <w:rPr>
                      <w:rFonts w:ascii="ＭＳ 明朝" w:hAnsi="ＭＳ 明朝" w:hint="eastAsia"/>
                      <w:color w:val="000000" w:themeColor="text1"/>
                      <w:szCs w:val="21"/>
                    </w:rPr>
                    <w:t>鉄骨造</w:t>
                  </w:r>
                </w:p>
              </w:tc>
              <w:tc>
                <w:tcPr>
                  <w:tcW w:w="3402" w:type="dxa"/>
                  <w:vAlign w:val="center"/>
                </w:tcPr>
                <w:p w14:paraId="1F4B1B30" w14:textId="77777777" w:rsidR="00AA1377" w:rsidRPr="00AA1377" w:rsidRDefault="00AA1377" w:rsidP="00AA1377">
                  <w:pPr>
                    <w:jc w:val="center"/>
                    <w:rPr>
                      <w:rFonts w:ascii="ＭＳ 明朝" w:hAnsi="ＭＳ 明朝"/>
                      <w:color w:val="FF0000"/>
                      <w:szCs w:val="21"/>
                    </w:rPr>
                  </w:pPr>
                  <w:r w:rsidRPr="00AA1377">
                    <w:rPr>
                      <w:rFonts w:ascii="ＭＳ 明朝" w:hAnsi="ＭＳ 明朝" w:hint="eastAsia"/>
                      <w:color w:val="FF0000"/>
                      <w:szCs w:val="21"/>
                    </w:rPr>
                    <w:t>割合：</w:t>
                  </w:r>
                  <w:r w:rsidRPr="00AA1377">
                    <w:rPr>
                      <w:rFonts w:ascii="ＭＳ 明朝" w:hAnsi="ＭＳ 明朝" w:hint="eastAsia"/>
                      <w:color w:val="FF0000"/>
                      <w:szCs w:val="21"/>
                    </w:rPr>
                    <w:t>10.56</w:t>
                  </w:r>
                  <w:r w:rsidRPr="00AA1377">
                    <w:rPr>
                      <w:rFonts w:ascii="ＭＳ 明朝" w:hAnsi="ＭＳ 明朝" w:hint="eastAsia"/>
                      <w:color w:val="FF0000"/>
                      <w:szCs w:val="21"/>
                    </w:rPr>
                    <w:t>％</w:t>
                  </w:r>
                </w:p>
                <w:p w14:paraId="3C914F09" w14:textId="4F1FC6A5" w:rsidR="0092151B" w:rsidRPr="00E34B7A" w:rsidRDefault="00AA1377" w:rsidP="00AA1377">
                  <w:pPr>
                    <w:jc w:val="center"/>
                    <w:rPr>
                      <w:rFonts w:ascii="ＭＳ 明朝" w:hAnsi="ＭＳ 明朝"/>
                      <w:color w:val="000000" w:themeColor="text1"/>
                      <w:szCs w:val="21"/>
                    </w:rPr>
                  </w:pPr>
                  <w:r w:rsidRPr="00AA1377">
                    <w:rPr>
                      <w:rFonts w:ascii="ＭＳ 明朝" w:hAnsi="ＭＳ 明朝" w:hint="eastAsia"/>
                      <w:color w:val="FF0000"/>
                      <w:szCs w:val="21"/>
                    </w:rPr>
                    <w:t>上限価格：</w:t>
                  </w:r>
                  <w:r w:rsidRPr="00AA1377">
                    <w:rPr>
                      <w:rFonts w:ascii="ＭＳ 明朝" w:hAnsi="ＭＳ 明朝" w:hint="eastAsia"/>
                      <w:color w:val="FF0000"/>
                      <w:szCs w:val="21"/>
                    </w:rPr>
                    <w:t>6</w:t>
                  </w:r>
                  <w:r w:rsidR="009F6057">
                    <w:rPr>
                      <w:rFonts w:ascii="ＭＳ 明朝" w:hAnsi="ＭＳ 明朝" w:hint="eastAsia"/>
                      <w:color w:val="FF0000"/>
                      <w:szCs w:val="21"/>
                    </w:rPr>
                    <w:t>47</w:t>
                  </w:r>
                  <w:r w:rsidRPr="00AA1377">
                    <w:rPr>
                      <w:rFonts w:ascii="ＭＳ 明朝" w:hAnsi="ＭＳ 明朝" w:hint="eastAsia"/>
                      <w:color w:val="FF0000"/>
                      <w:szCs w:val="21"/>
                    </w:rPr>
                    <w:t>,</w:t>
                  </w:r>
                  <w:r w:rsidR="009F6057">
                    <w:rPr>
                      <w:rFonts w:ascii="ＭＳ 明朝" w:hAnsi="ＭＳ 明朝" w:hint="eastAsia"/>
                      <w:color w:val="FF0000"/>
                      <w:szCs w:val="21"/>
                    </w:rPr>
                    <w:t>526</w:t>
                  </w:r>
                  <w:r w:rsidRPr="00AA1377">
                    <w:rPr>
                      <w:rFonts w:ascii="ＭＳ 明朝" w:hAnsi="ＭＳ 明朝" w:hint="eastAsia"/>
                      <w:color w:val="FF0000"/>
                      <w:szCs w:val="21"/>
                    </w:rPr>
                    <w:t>,000</w:t>
                  </w:r>
                  <w:r w:rsidRPr="00AA1377">
                    <w:rPr>
                      <w:rFonts w:ascii="ＭＳ 明朝" w:hAnsi="ＭＳ 明朝" w:hint="eastAsia"/>
                      <w:color w:val="FF0000"/>
                      <w:szCs w:val="21"/>
                    </w:rPr>
                    <w:t>円</w:t>
                  </w:r>
                </w:p>
              </w:tc>
            </w:tr>
          </w:tbl>
          <w:p w14:paraId="6E00B032" w14:textId="77777777" w:rsidR="00EF4BB2" w:rsidRPr="0092151B" w:rsidRDefault="00EF4BB2" w:rsidP="00EF4BB2"/>
          <w:p w14:paraId="0DC9167E" w14:textId="2EB97126" w:rsidR="00FA0988" w:rsidRPr="00CF5AE1" w:rsidRDefault="00EF4BB2" w:rsidP="00FA0988">
            <w:r>
              <w:rPr>
                <w:rFonts w:hint="eastAsia"/>
              </w:rPr>
              <w:t>・本件土地及び本件工作物について、それぞれ売買契約を締結するものとし、売却価格は、提案を受けた価格にそれぞれの予定価格に対する割合を乗じた額とします。また、円未満の端数が生じた場合は本件土地の額を切上げ、本件工作物の額を切捨てることとします。</w:t>
            </w:r>
          </w:p>
          <w:p w14:paraId="3C56089D" w14:textId="4A391648" w:rsidR="00EF4BB2" w:rsidRDefault="00EF4BB2" w:rsidP="00EF4BB2">
            <w:r>
              <w:rPr>
                <w:rFonts w:hint="eastAsia"/>
              </w:rPr>
              <w:t>・</w:t>
            </w:r>
            <w:r w:rsidR="00CF5AE1" w:rsidRPr="00CF5AE1">
              <w:rPr>
                <w:rFonts w:hint="eastAsia"/>
              </w:rPr>
              <w:t>ただし</w:t>
            </w:r>
            <w:r w:rsidRPr="00CF5AE1">
              <w:rPr>
                <w:rFonts w:hint="eastAsia"/>
              </w:rPr>
              <w:t>、提案</w:t>
            </w:r>
            <w:r>
              <w:rPr>
                <w:rFonts w:hint="eastAsia"/>
              </w:rPr>
              <w:t>を受けた価格に本件工作物の予定価格に対する割合を乗じた額が、本件工作物の上限価格を上回る場合は、上限価格を本件工作物の売却価格とし、提案を受けた価格から本件工作物の上限価格を差し引いた価格を本件土地の売却価格とします。</w:t>
            </w:r>
          </w:p>
        </w:tc>
      </w:tr>
      <w:tr w:rsidR="0092151B" w14:paraId="4AC85B2D" w14:textId="77777777" w:rsidTr="0092151B">
        <w:tc>
          <w:tcPr>
            <w:tcW w:w="562" w:type="dxa"/>
          </w:tcPr>
          <w:p w14:paraId="380B5734" w14:textId="1682D103" w:rsidR="00EF4BB2" w:rsidRDefault="00EF4BB2" w:rsidP="00EF4BB2">
            <w:pPr>
              <w:jc w:val="center"/>
            </w:pPr>
            <w:r w:rsidRPr="00EF4BB2">
              <w:t>20</w:t>
            </w:r>
          </w:p>
        </w:tc>
        <w:tc>
          <w:tcPr>
            <w:tcW w:w="1134" w:type="dxa"/>
          </w:tcPr>
          <w:p w14:paraId="261D4307" w14:textId="4FDADBC6" w:rsidR="00EF4BB2" w:rsidRDefault="00EF4BB2" w:rsidP="00EF4BB2">
            <w:pPr>
              <w:jc w:val="center"/>
            </w:pPr>
            <w:r w:rsidRPr="00EF4BB2">
              <w:rPr>
                <w:rFonts w:hint="eastAsia"/>
              </w:rPr>
              <w:t>Ⅱ</w:t>
            </w:r>
            <w:r w:rsidRPr="00EF4BB2">
              <w:t>-2</w:t>
            </w:r>
          </w:p>
        </w:tc>
        <w:tc>
          <w:tcPr>
            <w:tcW w:w="9214" w:type="dxa"/>
          </w:tcPr>
          <w:p w14:paraId="677EDC4D" w14:textId="77777777" w:rsidR="00EF4BB2" w:rsidRDefault="00EF4BB2" w:rsidP="00EF4BB2">
            <w:r>
              <w:rPr>
                <w:rFonts w:hint="eastAsia"/>
              </w:rPr>
              <w:t>②評価項目</w:t>
            </w:r>
          </w:p>
          <w:p w14:paraId="4BA134EA" w14:textId="08D673C8" w:rsidR="00EF4BB2" w:rsidRDefault="00EF4BB2" w:rsidP="00EF4BB2">
            <w:r w:rsidRPr="00EF4BB2">
              <w:rPr>
                <w:rFonts w:hint="eastAsia"/>
                <w:color w:val="FF0000"/>
              </w:rPr>
              <w:t>評価</w:t>
            </w:r>
            <w:r>
              <w:rPr>
                <w:rFonts w:hint="eastAsia"/>
              </w:rPr>
              <w:t>提案書の評価項目は、次のとおりです。</w:t>
            </w:r>
          </w:p>
        </w:tc>
        <w:tc>
          <w:tcPr>
            <w:tcW w:w="9214" w:type="dxa"/>
          </w:tcPr>
          <w:p w14:paraId="3D7E0BA9" w14:textId="77777777" w:rsidR="00EF4BB2" w:rsidRDefault="00EF4BB2" w:rsidP="00EF4BB2">
            <w:r>
              <w:rPr>
                <w:rFonts w:hint="eastAsia"/>
              </w:rPr>
              <w:t>②評価項目</w:t>
            </w:r>
          </w:p>
          <w:p w14:paraId="0277D8E4" w14:textId="27921DB3" w:rsidR="00EF4BB2" w:rsidRDefault="00EF4BB2" w:rsidP="00EF4BB2">
            <w:r w:rsidRPr="00EF4BB2">
              <w:rPr>
                <w:rFonts w:hint="eastAsia"/>
                <w:color w:val="FF0000"/>
              </w:rPr>
              <w:t>計画</w:t>
            </w:r>
            <w:r>
              <w:rPr>
                <w:rFonts w:hint="eastAsia"/>
              </w:rPr>
              <w:t>提案書の評価項目は、次のとおりです。</w:t>
            </w:r>
          </w:p>
        </w:tc>
      </w:tr>
      <w:tr w:rsidR="0092151B" w14:paraId="05B44E76" w14:textId="77777777" w:rsidTr="0092151B">
        <w:tc>
          <w:tcPr>
            <w:tcW w:w="562" w:type="dxa"/>
          </w:tcPr>
          <w:p w14:paraId="035E979C" w14:textId="5DE2C54A" w:rsidR="00EF4BB2" w:rsidRDefault="00EF4BB2" w:rsidP="00EF4BB2">
            <w:pPr>
              <w:jc w:val="center"/>
            </w:pPr>
            <w:r w:rsidRPr="00EF4BB2">
              <w:t>31</w:t>
            </w:r>
          </w:p>
        </w:tc>
        <w:tc>
          <w:tcPr>
            <w:tcW w:w="1134" w:type="dxa"/>
          </w:tcPr>
          <w:p w14:paraId="5EEAE003" w14:textId="55ADB9ED" w:rsidR="00EF4BB2" w:rsidRDefault="00EF4BB2" w:rsidP="00EF4BB2">
            <w:pPr>
              <w:jc w:val="center"/>
            </w:pPr>
            <w:r w:rsidRPr="00EF4BB2">
              <w:rPr>
                <w:rFonts w:hint="eastAsia"/>
              </w:rPr>
              <w:t>Ⅳ</w:t>
            </w:r>
            <w:r w:rsidRPr="00EF4BB2">
              <w:t>-1</w:t>
            </w:r>
          </w:p>
        </w:tc>
        <w:tc>
          <w:tcPr>
            <w:tcW w:w="9214" w:type="dxa"/>
          </w:tcPr>
          <w:p w14:paraId="1F3E4820" w14:textId="77777777" w:rsidR="00EF4BB2" w:rsidRDefault="00EF4BB2" w:rsidP="00EF4BB2">
            <w:r>
              <w:rPr>
                <w:rFonts w:hint="eastAsia"/>
              </w:rPr>
              <w:t>（２）夢洲まちづくりに関すること</w:t>
            </w:r>
          </w:p>
          <w:p w14:paraId="3361B44A" w14:textId="77777777" w:rsidR="00EF4BB2" w:rsidRDefault="00EF4BB2" w:rsidP="00EF4BB2">
            <w:r>
              <w:rPr>
                <w:rFonts w:hint="eastAsia"/>
              </w:rPr>
              <w:lastRenderedPageBreak/>
              <w:t>・夢洲まちづくり構想</w:t>
            </w:r>
            <w:r>
              <w:t xml:space="preserve"> （2017年８月 夢洲まちづくり構想検討会）</w:t>
            </w:r>
          </w:p>
          <w:p w14:paraId="464E4B5B" w14:textId="77777777" w:rsidR="00EF4BB2" w:rsidRDefault="00EF4BB2" w:rsidP="00EF4BB2">
            <w:r>
              <w:t xml:space="preserve">https://www.city.osaka.lg.jp/osakatokei/page/0000286607.html　</w:t>
            </w:r>
          </w:p>
          <w:p w14:paraId="44ADBF0B" w14:textId="77777777" w:rsidR="00EF4BB2" w:rsidRDefault="00EF4BB2" w:rsidP="00EF4BB2">
            <w:r>
              <w:rPr>
                <w:rFonts w:hint="eastAsia"/>
              </w:rPr>
              <w:t>・夢洲まちづくり基本方針（</w:t>
            </w:r>
            <w:r>
              <w:t>2019年12月 夢洲まちづくり基本方針検討会）</w:t>
            </w:r>
          </w:p>
          <w:p w14:paraId="5886F2CB" w14:textId="77777777" w:rsidR="00EF4BB2" w:rsidRDefault="00EF4BB2" w:rsidP="00EF4BB2">
            <w:r>
              <w:t xml:space="preserve">https://www.city.osaka.lg.jp/osakatokei/page/0000473459.html　</w:t>
            </w:r>
          </w:p>
          <w:p w14:paraId="4C1D41DE" w14:textId="77777777" w:rsidR="00EF4BB2" w:rsidRDefault="00EF4BB2" w:rsidP="00EF4BB2">
            <w:r>
              <w:rPr>
                <w:rFonts w:hint="eastAsia"/>
              </w:rPr>
              <w:t>・夢洲第２期区域マスタープラン</w:t>
            </w:r>
            <w:r>
              <w:t>Ver.2.0（2025年10月 大阪府・大阪市）</w:t>
            </w:r>
          </w:p>
          <w:p w14:paraId="1974BF9C" w14:textId="77777777" w:rsidR="00EF4BB2" w:rsidRDefault="00EF4BB2" w:rsidP="00EF4BB2">
            <w:r>
              <w:rPr>
                <w:rFonts w:hint="eastAsia"/>
              </w:rPr>
              <w:t>（※最終的には令和８年春頃に策定される</w:t>
            </w:r>
            <w:r>
              <w:t>Ver.3.0を参照すること）</w:t>
            </w:r>
          </w:p>
          <w:p w14:paraId="2EE794F8" w14:textId="77777777" w:rsidR="00EF4BB2" w:rsidRDefault="00EF4BB2" w:rsidP="00EF4BB2">
            <w:r>
              <w:t xml:space="preserve">https://www.pref.osaka.lg.jp/o140030/daitoshimachi/yume-saki/publiccomment2-kekka.html　</w:t>
            </w:r>
          </w:p>
          <w:p w14:paraId="054ACB02" w14:textId="77777777" w:rsidR="00EF4BB2" w:rsidRDefault="00EF4BB2" w:rsidP="00EF4BB2">
            <w:r>
              <w:rPr>
                <w:rFonts w:hint="eastAsia"/>
              </w:rPr>
              <w:t>・大阪市戦略会議資料（</w:t>
            </w:r>
            <w:r>
              <w:t>2025年６月 万博推進局・大阪港湾局）</w:t>
            </w:r>
          </w:p>
          <w:p w14:paraId="73A0B099" w14:textId="215AC832" w:rsidR="00EF4BB2" w:rsidRDefault="00EF4BB2" w:rsidP="00EF4BB2">
            <w:r>
              <w:t>https://www.city.osaka.lg.jp/seisakukikakushitsu/page/0000656160.html</w:t>
            </w:r>
          </w:p>
        </w:tc>
        <w:tc>
          <w:tcPr>
            <w:tcW w:w="9214" w:type="dxa"/>
          </w:tcPr>
          <w:p w14:paraId="71BD52E4" w14:textId="77777777" w:rsidR="00EF4BB2" w:rsidRDefault="00EF4BB2" w:rsidP="00EF4BB2">
            <w:r>
              <w:rPr>
                <w:rFonts w:hint="eastAsia"/>
              </w:rPr>
              <w:lastRenderedPageBreak/>
              <w:t>（２）夢洲まちづくりに関すること</w:t>
            </w:r>
          </w:p>
          <w:p w14:paraId="0721E719" w14:textId="77777777" w:rsidR="00EF4BB2" w:rsidRDefault="00EF4BB2" w:rsidP="00EF4BB2">
            <w:r>
              <w:rPr>
                <w:rFonts w:hint="eastAsia"/>
              </w:rPr>
              <w:lastRenderedPageBreak/>
              <w:t>・夢洲まちづくり構想</w:t>
            </w:r>
            <w:r>
              <w:t xml:space="preserve"> （2017年８月 夢洲まちづくり構想検討会）</w:t>
            </w:r>
          </w:p>
          <w:p w14:paraId="3AAB5DB5" w14:textId="77777777" w:rsidR="00EF4BB2" w:rsidRDefault="00EF4BB2" w:rsidP="00EF4BB2">
            <w:r>
              <w:t xml:space="preserve">https://www.city.osaka.lg.jp/osakatokei/page/0000286607.html　</w:t>
            </w:r>
          </w:p>
          <w:p w14:paraId="5B36C85C" w14:textId="77777777" w:rsidR="00EF4BB2" w:rsidRDefault="00EF4BB2" w:rsidP="00EF4BB2">
            <w:r>
              <w:rPr>
                <w:rFonts w:hint="eastAsia"/>
              </w:rPr>
              <w:t>・夢洲まちづくり基本方針（</w:t>
            </w:r>
            <w:r>
              <w:t>2019年12月 夢洲まちづくり基本方針検討会）</w:t>
            </w:r>
          </w:p>
          <w:p w14:paraId="5FB168EE" w14:textId="77777777" w:rsidR="00EF4BB2" w:rsidRDefault="00EF4BB2" w:rsidP="00EF4BB2">
            <w:r>
              <w:t xml:space="preserve">https://www.city.osaka.lg.jp/osakatokei/page/0000473459.html　</w:t>
            </w:r>
          </w:p>
          <w:p w14:paraId="341367CD" w14:textId="77777777" w:rsidR="00EF4BB2" w:rsidRDefault="00EF4BB2" w:rsidP="00EF4BB2">
            <w:r>
              <w:rPr>
                <w:rFonts w:hint="eastAsia"/>
              </w:rPr>
              <w:t>・夢洲第２期区域マスタープラン</w:t>
            </w:r>
            <w:r>
              <w:t>Ver.2.0（2025年10月 大阪府・大阪市）</w:t>
            </w:r>
          </w:p>
          <w:p w14:paraId="6781E82E" w14:textId="77777777" w:rsidR="00EF4BB2" w:rsidRDefault="00EF4BB2" w:rsidP="00EF4BB2">
            <w:r>
              <w:rPr>
                <w:rFonts w:hint="eastAsia"/>
              </w:rPr>
              <w:t>（※最終的には令和８年春頃に策定される</w:t>
            </w:r>
            <w:r>
              <w:t>Ver.3.0を参照すること）</w:t>
            </w:r>
          </w:p>
          <w:p w14:paraId="7DB51C33" w14:textId="77777777" w:rsidR="00EF4BB2" w:rsidRDefault="00EF4BB2" w:rsidP="00EF4BB2">
            <w:r>
              <w:t xml:space="preserve">https://www.pref.osaka.lg.jp/o140030/daitoshimachi/yume-saki/publiccomment2-kekka.html　</w:t>
            </w:r>
          </w:p>
          <w:p w14:paraId="2807DB85" w14:textId="77777777" w:rsidR="00EF4BB2" w:rsidRDefault="00EF4BB2" w:rsidP="00EF4BB2">
            <w:r>
              <w:rPr>
                <w:rFonts w:hint="eastAsia"/>
              </w:rPr>
              <w:t>・大阪市戦略会議資料（</w:t>
            </w:r>
            <w:r>
              <w:t>2025年６月 万博推進局・大阪港湾局）</w:t>
            </w:r>
          </w:p>
          <w:p w14:paraId="507D550F" w14:textId="77777777" w:rsidR="00EF4BB2" w:rsidRDefault="00EF4BB2" w:rsidP="00EF4BB2">
            <w:r>
              <w:t xml:space="preserve">https://www.city.osaka.lg.jp/seisakukikakushitsu/page/0000656160.html </w:t>
            </w:r>
          </w:p>
          <w:p w14:paraId="7334EED2" w14:textId="36F705D3" w:rsidR="00EF4BB2" w:rsidRPr="00EF4BB2" w:rsidRDefault="00EF4BB2" w:rsidP="00EF4BB2">
            <w:pPr>
              <w:rPr>
                <w:color w:val="FF0000"/>
              </w:rPr>
            </w:pPr>
            <w:r w:rsidRPr="00EF4BB2">
              <w:rPr>
                <w:rFonts w:hint="eastAsia"/>
                <w:color w:val="FF0000"/>
              </w:rPr>
              <w:t>・第</w:t>
            </w:r>
            <w:r w:rsidRPr="00EF4BB2">
              <w:rPr>
                <w:color w:val="FF0000"/>
              </w:rPr>
              <w:t>20回副首都推進本部（大阪府市）会議【資料</w:t>
            </w:r>
            <w:r w:rsidR="005B5179">
              <w:rPr>
                <w:rFonts w:hint="eastAsia"/>
                <w:color w:val="FF0000"/>
              </w:rPr>
              <w:t>5</w:t>
            </w:r>
            <w:r w:rsidRPr="00EF4BB2">
              <w:rPr>
                <w:color w:val="FF0000"/>
              </w:rPr>
              <w:t>】（2026年２月　大阪府・大阪市大阪都市計画局）</w:t>
            </w:r>
          </w:p>
          <w:p w14:paraId="76A3D1CB" w14:textId="50BAEE57" w:rsidR="00EF4BB2" w:rsidRDefault="00EF4BB2" w:rsidP="00EF4BB2">
            <w:r w:rsidRPr="00EF4BB2">
              <w:rPr>
                <w:color w:val="FF0000"/>
              </w:rPr>
              <w:t>https://www.pref.osaka.lg.jp/o010010/fukushutosuishin/fushi_ittaiunei/oosakafushi20.html</w:t>
            </w:r>
          </w:p>
        </w:tc>
      </w:tr>
      <w:tr w:rsidR="00EF4BB2" w14:paraId="2529BFF7" w14:textId="77777777" w:rsidTr="0092151B">
        <w:tc>
          <w:tcPr>
            <w:tcW w:w="562" w:type="dxa"/>
          </w:tcPr>
          <w:p w14:paraId="477A0471" w14:textId="55AE1D8C" w:rsidR="00EF4BB2" w:rsidRDefault="00EF4BB2" w:rsidP="00EF4BB2">
            <w:pPr>
              <w:jc w:val="center"/>
            </w:pPr>
            <w:r w:rsidRPr="00EF4BB2">
              <w:lastRenderedPageBreak/>
              <w:t>37-38</w:t>
            </w:r>
          </w:p>
        </w:tc>
        <w:tc>
          <w:tcPr>
            <w:tcW w:w="1134" w:type="dxa"/>
          </w:tcPr>
          <w:p w14:paraId="2F095013" w14:textId="7AD4060C" w:rsidR="00EF4BB2" w:rsidRDefault="00EF4BB2" w:rsidP="00EF4BB2">
            <w:pPr>
              <w:jc w:val="center"/>
            </w:pPr>
            <w:r w:rsidRPr="00EF4BB2">
              <w:rPr>
                <w:rFonts w:hint="eastAsia"/>
              </w:rPr>
              <w:t>Ⅳ</w:t>
            </w:r>
            <w:r w:rsidRPr="00EF4BB2">
              <w:t>-3</w:t>
            </w:r>
          </w:p>
        </w:tc>
        <w:tc>
          <w:tcPr>
            <w:tcW w:w="9214" w:type="dxa"/>
          </w:tcPr>
          <w:p w14:paraId="1C3360A0" w14:textId="77777777" w:rsidR="00EF4BB2" w:rsidRDefault="00EF4BB2" w:rsidP="00EF4BB2">
            <w:r>
              <w:rPr>
                <w:rFonts w:hint="eastAsia"/>
              </w:rPr>
              <w:t>（５）環境アセスメントに関する事項</w:t>
            </w:r>
          </w:p>
          <w:p w14:paraId="7A0E8F79" w14:textId="77777777" w:rsidR="00EF4BB2" w:rsidRDefault="00EF4BB2" w:rsidP="00EF4BB2">
            <w:r>
              <w:rPr>
                <w:rFonts w:hint="eastAsia"/>
              </w:rPr>
              <w:t>・本事業の計画内容が、大阪市環境影響評価条例に規定する対象事業に該当する場合、大阪市と環境影響評価に関する協議を速やかに開始してください。</w:t>
            </w:r>
          </w:p>
          <w:p w14:paraId="1BA2FB63" w14:textId="77777777" w:rsidR="00EF4BB2" w:rsidRDefault="00EF4BB2" w:rsidP="00EF4BB2">
            <w:r>
              <w:rPr>
                <w:rFonts w:hint="eastAsia"/>
              </w:rPr>
              <w:t>・第２期隣接区域においても、同時期に環境影響評価を実施する可能性があるため、複合影響を考慮する必要が生じた場合は、その予測・評価内容やスケジュール等について、両者協力のうえ、担当部局等と調整し、環境影響評価を行ってください。</w:t>
            </w:r>
          </w:p>
          <w:p w14:paraId="1351A765" w14:textId="5692C421" w:rsidR="00EF4BB2" w:rsidRDefault="00EF4BB2" w:rsidP="00EF4BB2">
            <w:r>
              <w:rPr>
                <w:rFonts w:hint="eastAsia"/>
              </w:rPr>
              <w:t>・</w:t>
            </w:r>
            <w:r w:rsidRPr="00EF4BB2">
              <w:rPr>
                <w:rFonts w:hint="eastAsia"/>
                <w:color w:val="FF0000"/>
              </w:rPr>
              <w:t>また、</w:t>
            </w:r>
            <w:r>
              <w:rPr>
                <w:rFonts w:hint="eastAsia"/>
              </w:rPr>
              <w:t>大阪市環境影響評価条例に規定する対象事業に該当しない場合であっても、夢洲地区の別事業において、環境影響評価の複合影響を考慮する必要が生じた場合には、情報提供等に協力してください。</w:t>
            </w:r>
          </w:p>
        </w:tc>
        <w:tc>
          <w:tcPr>
            <w:tcW w:w="9214" w:type="dxa"/>
          </w:tcPr>
          <w:p w14:paraId="38FEC12B" w14:textId="77777777" w:rsidR="00EF4BB2" w:rsidRDefault="00EF4BB2" w:rsidP="00EF4BB2">
            <w:r>
              <w:rPr>
                <w:rFonts w:hint="eastAsia"/>
              </w:rPr>
              <w:t>（５）環境アセスメントに関する事項</w:t>
            </w:r>
          </w:p>
          <w:p w14:paraId="20455475" w14:textId="77777777" w:rsidR="00EF4BB2" w:rsidRDefault="00EF4BB2" w:rsidP="00EF4BB2">
            <w:r>
              <w:rPr>
                <w:rFonts w:hint="eastAsia"/>
              </w:rPr>
              <w:t>・本事業の計画内容が、大阪市環境影響評価条例に規定する対象事業に該当する場合、大阪市と環境影響評価に関する協議を速やかに開始してください。</w:t>
            </w:r>
          </w:p>
          <w:p w14:paraId="1EC5CB12" w14:textId="77777777" w:rsidR="00EF4BB2" w:rsidRDefault="00EF4BB2" w:rsidP="00EF4BB2">
            <w:r>
              <w:rPr>
                <w:rFonts w:hint="eastAsia"/>
              </w:rPr>
              <w:t>・</w:t>
            </w:r>
            <w:r w:rsidRPr="00EF4BB2">
              <w:rPr>
                <w:rFonts w:hint="eastAsia"/>
                <w:color w:val="FF0000"/>
              </w:rPr>
              <w:t>また、上記の場合は</w:t>
            </w:r>
            <w:r>
              <w:rPr>
                <w:rFonts w:hint="eastAsia"/>
              </w:rPr>
              <w:t>第２期隣接区域においても、同時期に環境影響評価を実施する可能性があるため、複合影響を考慮する必要が生じた場合は、その予測・評価内容やスケジュール等について、両者協力のうえ、担当部局等と調整し、環境影響評価を行ってください。</w:t>
            </w:r>
          </w:p>
          <w:p w14:paraId="3E8F93E6" w14:textId="250C3EB8" w:rsidR="00EF4BB2" w:rsidRDefault="00EF4BB2" w:rsidP="00EF4BB2">
            <w:r>
              <w:rPr>
                <w:rFonts w:hint="eastAsia"/>
              </w:rPr>
              <w:t>・大阪市環境影響評価条例に規定する対象事業に該当しない場合であっても、夢洲地区の別事業において、環境影響評価の複合影響を考慮する必要が生じた場合には、情報提供等に協力してください。</w:t>
            </w:r>
          </w:p>
        </w:tc>
      </w:tr>
      <w:tr w:rsidR="00B36A37" w14:paraId="040506C6" w14:textId="77777777" w:rsidTr="0092151B">
        <w:tc>
          <w:tcPr>
            <w:tcW w:w="562" w:type="dxa"/>
          </w:tcPr>
          <w:p w14:paraId="2C3EF687" w14:textId="12037002" w:rsidR="00B36A37" w:rsidRPr="00EF4BB2" w:rsidRDefault="00021FB2" w:rsidP="00553BE3">
            <w:r w:rsidRPr="00EF4BB2">
              <w:t>3</w:t>
            </w:r>
            <w:r>
              <w:rPr>
                <w:rFonts w:hint="eastAsia"/>
              </w:rPr>
              <w:t>9</w:t>
            </w:r>
          </w:p>
        </w:tc>
        <w:tc>
          <w:tcPr>
            <w:tcW w:w="1134" w:type="dxa"/>
          </w:tcPr>
          <w:p w14:paraId="068471B0" w14:textId="06BE5B60" w:rsidR="00B36A37" w:rsidRPr="00EF4BB2" w:rsidRDefault="002548F4" w:rsidP="00B36A37">
            <w:pPr>
              <w:jc w:val="center"/>
            </w:pPr>
            <w:r>
              <w:rPr>
                <w:rFonts w:hint="eastAsia"/>
              </w:rPr>
              <w:t>Ⅳ</w:t>
            </w:r>
            <w:r w:rsidR="00B36A37" w:rsidRPr="00EF4BB2">
              <w:t>-</w:t>
            </w:r>
            <w:r>
              <w:rPr>
                <w:rFonts w:hint="eastAsia"/>
              </w:rPr>
              <w:t>４</w:t>
            </w:r>
          </w:p>
        </w:tc>
        <w:tc>
          <w:tcPr>
            <w:tcW w:w="9214" w:type="dxa"/>
          </w:tcPr>
          <w:p w14:paraId="6FF0B58A" w14:textId="77777777" w:rsidR="00977F4E" w:rsidRPr="00E4596D" w:rsidRDefault="00977F4E" w:rsidP="00553BE3">
            <w:pPr>
              <w:rPr>
                <w:rFonts w:ascii="ＭＳ 明朝" w:hAnsi="ＭＳ 明朝"/>
                <w:color w:val="000000" w:themeColor="text1"/>
                <w:szCs w:val="21"/>
              </w:rPr>
            </w:pPr>
            <w:r w:rsidRPr="000B2F70">
              <w:rPr>
                <w:rFonts w:ascii="ＭＳ 明朝" w:hAnsi="ＭＳ 明朝" w:hint="eastAsia"/>
                <w:color w:val="000000" w:themeColor="text1"/>
                <w:szCs w:val="21"/>
              </w:rPr>
              <w:t>【地区計画において定める主な内容（予定）】</w:t>
            </w:r>
          </w:p>
          <w:p w14:paraId="00715557" w14:textId="77777777" w:rsidR="00977F4E" w:rsidRDefault="00977F4E" w:rsidP="00977F4E">
            <w:pPr>
              <w:pStyle w:val="a9"/>
              <w:numPr>
                <w:ilvl w:val="0"/>
                <w:numId w:val="1"/>
              </w:numPr>
              <w:ind w:leftChars="100" w:left="420" w:hangingChars="100" w:hanging="210"/>
              <w:contextualSpacing w:val="0"/>
              <w:rPr>
                <w:rFonts w:ascii="ＭＳ 明朝" w:hAnsi="ＭＳ 明朝"/>
                <w:color w:val="000000" w:themeColor="text1"/>
                <w:szCs w:val="21"/>
              </w:rPr>
            </w:pPr>
            <w:r>
              <w:rPr>
                <w:rFonts w:ascii="ＭＳ 明朝" w:hAnsi="ＭＳ 明朝" w:hint="eastAsia"/>
                <w:color w:val="000000" w:themeColor="text1"/>
                <w:szCs w:val="21"/>
              </w:rPr>
              <w:t>地区計画の方針</w:t>
            </w:r>
          </w:p>
          <w:p w14:paraId="16E394CB" w14:textId="77777777" w:rsidR="00977F4E" w:rsidRPr="00466EE3" w:rsidRDefault="00977F4E" w:rsidP="00977F4E">
            <w:pPr>
              <w:pStyle w:val="a9"/>
              <w:numPr>
                <w:ilvl w:val="0"/>
                <w:numId w:val="1"/>
              </w:numPr>
              <w:ind w:leftChars="100" w:left="420" w:hangingChars="100" w:hanging="210"/>
              <w:contextualSpacing w:val="0"/>
              <w:rPr>
                <w:rFonts w:ascii="ＭＳ 明朝" w:hAnsi="ＭＳ 明朝"/>
                <w:color w:val="000000" w:themeColor="text1"/>
                <w:szCs w:val="21"/>
              </w:rPr>
            </w:pPr>
            <w:r w:rsidRPr="00E4596D">
              <w:rPr>
                <w:rFonts w:ascii="ＭＳ 明朝" w:hAnsi="ＭＳ 明朝" w:hint="eastAsia"/>
                <w:color w:val="000000" w:themeColor="text1"/>
                <w:szCs w:val="21"/>
              </w:rPr>
              <w:t>導入すべき都市機能</w:t>
            </w:r>
          </w:p>
          <w:p w14:paraId="33CFED57" w14:textId="77777777" w:rsidR="00977F4E" w:rsidRPr="00E4596D" w:rsidRDefault="00977F4E" w:rsidP="00977F4E">
            <w:pPr>
              <w:pStyle w:val="a9"/>
              <w:numPr>
                <w:ilvl w:val="0"/>
                <w:numId w:val="1"/>
              </w:numPr>
              <w:ind w:leftChars="100" w:left="420" w:hangingChars="100" w:hanging="210"/>
              <w:contextualSpacing w:val="0"/>
              <w:rPr>
                <w:rFonts w:ascii="ＭＳ 明朝" w:hAnsi="ＭＳ 明朝"/>
                <w:color w:val="000000" w:themeColor="text1"/>
                <w:szCs w:val="21"/>
              </w:rPr>
            </w:pPr>
            <w:r w:rsidRPr="00E4596D">
              <w:rPr>
                <w:rFonts w:ascii="ＭＳ 明朝" w:hAnsi="ＭＳ 明朝" w:hint="eastAsia"/>
                <w:color w:val="000000" w:themeColor="text1"/>
                <w:szCs w:val="21"/>
              </w:rPr>
              <w:t>地区施設の配置及び規模（歩行者動線、デッキ）</w:t>
            </w:r>
          </w:p>
          <w:p w14:paraId="4AD0ED6C" w14:textId="77777777" w:rsidR="00977F4E" w:rsidRPr="00E4596D" w:rsidRDefault="00977F4E" w:rsidP="00977F4E">
            <w:pPr>
              <w:pStyle w:val="a9"/>
              <w:numPr>
                <w:ilvl w:val="0"/>
                <w:numId w:val="1"/>
              </w:numPr>
              <w:ind w:leftChars="100" w:left="420" w:hangingChars="100" w:hanging="210"/>
              <w:contextualSpacing w:val="0"/>
              <w:rPr>
                <w:rFonts w:ascii="ＭＳ 明朝" w:hAnsi="ＭＳ 明朝"/>
                <w:color w:val="000000" w:themeColor="text1"/>
                <w:szCs w:val="21"/>
              </w:rPr>
            </w:pPr>
            <w:r w:rsidRPr="00E4596D">
              <w:rPr>
                <w:rFonts w:ascii="ＭＳ 明朝" w:hAnsi="ＭＳ 明朝" w:hint="eastAsia"/>
                <w:color w:val="000000" w:themeColor="text1"/>
                <w:szCs w:val="21"/>
              </w:rPr>
              <w:t>建築物の用途制限</w:t>
            </w:r>
          </w:p>
          <w:p w14:paraId="4C311D04" w14:textId="77777777" w:rsidR="00977F4E" w:rsidRPr="00E4596D" w:rsidRDefault="00977F4E" w:rsidP="00977F4E">
            <w:pPr>
              <w:pStyle w:val="a9"/>
              <w:numPr>
                <w:ilvl w:val="0"/>
                <w:numId w:val="1"/>
              </w:numPr>
              <w:ind w:leftChars="100" w:left="420" w:hangingChars="100" w:hanging="210"/>
              <w:contextualSpacing w:val="0"/>
              <w:rPr>
                <w:rFonts w:ascii="ＭＳ 明朝" w:hAnsi="ＭＳ 明朝"/>
                <w:color w:val="000000" w:themeColor="text1"/>
                <w:szCs w:val="21"/>
              </w:rPr>
            </w:pPr>
            <w:r w:rsidRPr="00E4596D">
              <w:rPr>
                <w:rFonts w:ascii="ＭＳ 明朝" w:hAnsi="ＭＳ 明朝" w:hint="eastAsia"/>
                <w:color w:val="000000" w:themeColor="text1"/>
                <w:szCs w:val="21"/>
              </w:rPr>
              <w:t>建築物の敷地面積の最低限度</w:t>
            </w:r>
          </w:p>
          <w:p w14:paraId="1332FD45" w14:textId="77777777" w:rsidR="00977F4E" w:rsidRDefault="00977F4E" w:rsidP="00977F4E">
            <w:pPr>
              <w:pStyle w:val="a9"/>
              <w:numPr>
                <w:ilvl w:val="0"/>
                <w:numId w:val="1"/>
              </w:numPr>
              <w:ind w:leftChars="100" w:left="420" w:hangingChars="100" w:hanging="210"/>
              <w:contextualSpacing w:val="0"/>
              <w:rPr>
                <w:rFonts w:ascii="ＭＳ 明朝" w:hAnsi="ＭＳ 明朝"/>
                <w:color w:val="000000" w:themeColor="text1"/>
                <w:szCs w:val="21"/>
              </w:rPr>
            </w:pPr>
            <w:r w:rsidRPr="00E4596D">
              <w:rPr>
                <w:rFonts w:ascii="ＭＳ 明朝" w:hAnsi="ＭＳ 明朝" w:hint="eastAsia"/>
                <w:color w:val="000000" w:themeColor="text1"/>
                <w:szCs w:val="21"/>
              </w:rPr>
              <w:t>壁面の位置の制限</w:t>
            </w:r>
          </w:p>
          <w:p w14:paraId="262AF93D" w14:textId="77777777" w:rsidR="00977F4E" w:rsidRDefault="00977F4E" w:rsidP="00977F4E">
            <w:pPr>
              <w:pStyle w:val="a9"/>
              <w:numPr>
                <w:ilvl w:val="0"/>
                <w:numId w:val="1"/>
              </w:numPr>
              <w:ind w:leftChars="100" w:left="420" w:hangingChars="100" w:hanging="210"/>
              <w:contextualSpacing w:val="0"/>
              <w:rPr>
                <w:rFonts w:ascii="ＭＳ 明朝" w:hAnsi="ＭＳ 明朝"/>
                <w:color w:val="000000" w:themeColor="text1"/>
                <w:szCs w:val="21"/>
              </w:rPr>
            </w:pPr>
            <w:r w:rsidRPr="00F34F6C">
              <w:rPr>
                <w:rFonts w:ascii="ＭＳ 明朝" w:hAnsi="ＭＳ 明朝" w:hint="eastAsia"/>
                <w:color w:val="000000" w:themeColor="text1"/>
                <w:szCs w:val="21"/>
              </w:rPr>
              <w:t>歩道</w:t>
            </w:r>
            <w:r w:rsidRPr="006276A8">
              <w:rPr>
                <w:rFonts w:ascii="ＭＳ 明朝" w:hAnsi="ＭＳ 明朝" w:hint="eastAsia"/>
                <w:color w:val="FF0000"/>
                <w:szCs w:val="21"/>
              </w:rPr>
              <w:t>上</w:t>
            </w:r>
            <w:r w:rsidRPr="00F34F6C">
              <w:rPr>
                <w:rFonts w:ascii="ＭＳ 明朝" w:hAnsi="ＭＳ 明朝" w:hint="eastAsia"/>
                <w:color w:val="000000" w:themeColor="text1"/>
                <w:szCs w:val="21"/>
              </w:rPr>
              <w:t>空地または多目的空地</w:t>
            </w:r>
          </w:p>
          <w:p w14:paraId="220A1BD8" w14:textId="0FAF61DF" w:rsidR="00B36A37" w:rsidRPr="00BC31DA" w:rsidRDefault="00BC31DA" w:rsidP="00977F4E">
            <w:pPr>
              <w:pStyle w:val="a9"/>
              <w:numPr>
                <w:ilvl w:val="0"/>
                <w:numId w:val="1"/>
              </w:numPr>
              <w:ind w:leftChars="100" w:left="420" w:hangingChars="100" w:hanging="210"/>
              <w:contextualSpacing w:val="0"/>
              <w:rPr>
                <w:rFonts w:ascii="ＭＳ 明朝" w:hAnsi="ＭＳ 明朝"/>
                <w:color w:val="000000" w:themeColor="text1"/>
                <w:szCs w:val="21"/>
              </w:rPr>
            </w:pPr>
            <w:r w:rsidRPr="00E4596D">
              <w:rPr>
                <w:rFonts w:ascii="ＭＳ 明朝" w:hAnsi="ＭＳ 明朝" w:hint="eastAsia"/>
                <w:color w:val="000000" w:themeColor="text1"/>
                <w:szCs w:val="21"/>
              </w:rPr>
              <w:t>建築物その他の工作物の形態又は意匠の制限</w:t>
            </w:r>
            <w:r w:rsidRPr="002F100B">
              <w:rPr>
                <w:rFonts w:ascii="ＭＳ 明朝" w:hAnsi="ＭＳ 明朝" w:hint="eastAsia"/>
                <w:color w:val="000000" w:themeColor="text1"/>
                <w:szCs w:val="21"/>
              </w:rPr>
              <w:t>（レガシー</w:t>
            </w:r>
            <w:r>
              <w:rPr>
                <w:rFonts w:ascii="ＭＳ 明朝" w:hAnsi="ＭＳ 明朝" w:hint="eastAsia"/>
                <w:color w:val="000000" w:themeColor="text1"/>
                <w:szCs w:val="21"/>
              </w:rPr>
              <w:t>の継承及び維持管理</w:t>
            </w:r>
            <w:r w:rsidRPr="002F100B">
              <w:rPr>
                <w:rFonts w:ascii="ＭＳ 明朝" w:hAnsi="ＭＳ 明朝" w:hint="eastAsia"/>
                <w:color w:val="000000" w:themeColor="text1"/>
                <w:szCs w:val="21"/>
              </w:rPr>
              <w:t>）</w:t>
            </w:r>
            <w:r w:rsidRPr="00723EB7">
              <w:rPr>
                <w:rFonts w:ascii="ＭＳ 明朝" w:hAnsi="ＭＳ 明朝" w:hint="eastAsia"/>
                <w:color w:val="000000" w:themeColor="text1"/>
                <w:szCs w:val="21"/>
              </w:rPr>
              <w:t>など</w:t>
            </w:r>
          </w:p>
        </w:tc>
        <w:tc>
          <w:tcPr>
            <w:tcW w:w="9214" w:type="dxa"/>
          </w:tcPr>
          <w:p w14:paraId="0F2D156B" w14:textId="77777777" w:rsidR="006276A8" w:rsidRPr="00E4596D" w:rsidRDefault="006276A8" w:rsidP="006276A8">
            <w:pPr>
              <w:rPr>
                <w:rFonts w:ascii="ＭＳ 明朝" w:hAnsi="ＭＳ 明朝"/>
                <w:color w:val="000000" w:themeColor="text1"/>
                <w:szCs w:val="21"/>
              </w:rPr>
            </w:pPr>
            <w:r w:rsidRPr="000B2F70">
              <w:rPr>
                <w:rFonts w:ascii="ＭＳ 明朝" w:hAnsi="ＭＳ 明朝" w:hint="eastAsia"/>
                <w:color w:val="000000" w:themeColor="text1"/>
                <w:szCs w:val="21"/>
              </w:rPr>
              <w:t>【地区計画において定める主な内容（予定）】</w:t>
            </w:r>
          </w:p>
          <w:p w14:paraId="4F9B643D" w14:textId="77777777" w:rsidR="006276A8" w:rsidRDefault="006276A8" w:rsidP="006276A8">
            <w:pPr>
              <w:pStyle w:val="a9"/>
              <w:numPr>
                <w:ilvl w:val="0"/>
                <w:numId w:val="1"/>
              </w:numPr>
              <w:ind w:leftChars="100" w:left="420" w:hangingChars="100" w:hanging="210"/>
              <w:contextualSpacing w:val="0"/>
              <w:rPr>
                <w:rFonts w:ascii="ＭＳ 明朝" w:hAnsi="ＭＳ 明朝"/>
                <w:color w:val="000000" w:themeColor="text1"/>
                <w:szCs w:val="21"/>
              </w:rPr>
            </w:pPr>
            <w:r>
              <w:rPr>
                <w:rFonts w:ascii="ＭＳ 明朝" w:hAnsi="ＭＳ 明朝" w:hint="eastAsia"/>
                <w:color w:val="000000" w:themeColor="text1"/>
                <w:szCs w:val="21"/>
              </w:rPr>
              <w:t>地区計画の方針</w:t>
            </w:r>
          </w:p>
          <w:p w14:paraId="1761651C" w14:textId="77777777" w:rsidR="006276A8" w:rsidRPr="00466EE3" w:rsidRDefault="006276A8" w:rsidP="006276A8">
            <w:pPr>
              <w:pStyle w:val="a9"/>
              <w:numPr>
                <w:ilvl w:val="0"/>
                <w:numId w:val="1"/>
              </w:numPr>
              <w:ind w:leftChars="100" w:left="420" w:hangingChars="100" w:hanging="210"/>
              <w:contextualSpacing w:val="0"/>
              <w:rPr>
                <w:rFonts w:ascii="ＭＳ 明朝" w:hAnsi="ＭＳ 明朝"/>
                <w:color w:val="000000" w:themeColor="text1"/>
                <w:szCs w:val="21"/>
              </w:rPr>
            </w:pPr>
            <w:r w:rsidRPr="00E4596D">
              <w:rPr>
                <w:rFonts w:ascii="ＭＳ 明朝" w:hAnsi="ＭＳ 明朝" w:hint="eastAsia"/>
                <w:color w:val="000000" w:themeColor="text1"/>
                <w:szCs w:val="21"/>
              </w:rPr>
              <w:t>導入すべき都市機能</w:t>
            </w:r>
          </w:p>
          <w:p w14:paraId="0E709AB2" w14:textId="77777777" w:rsidR="006276A8" w:rsidRPr="00E4596D" w:rsidRDefault="006276A8" w:rsidP="006276A8">
            <w:pPr>
              <w:pStyle w:val="a9"/>
              <w:numPr>
                <w:ilvl w:val="0"/>
                <w:numId w:val="1"/>
              </w:numPr>
              <w:ind w:leftChars="100" w:left="420" w:hangingChars="100" w:hanging="210"/>
              <w:contextualSpacing w:val="0"/>
              <w:rPr>
                <w:rFonts w:ascii="ＭＳ 明朝" w:hAnsi="ＭＳ 明朝"/>
                <w:color w:val="000000" w:themeColor="text1"/>
                <w:szCs w:val="21"/>
              </w:rPr>
            </w:pPr>
            <w:r w:rsidRPr="00E4596D">
              <w:rPr>
                <w:rFonts w:ascii="ＭＳ 明朝" w:hAnsi="ＭＳ 明朝" w:hint="eastAsia"/>
                <w:color w:val="000000" w:themeColor="text1"/>
                <w:szCs w:val="21"/>
              </w:rPr>
              <w:t>地区施設の配置及び規模（歩行者動線、デッキ）</w:t>
            </w:r>
          </w:p>
          <w:p w14:paraId="10EB68FF" w14:textId="77777777" w:rsidR="006276A8" w:rsidRPr="00E4596D" w:rsidRDefault="006276A8" w:rsidP="006276A8">
            <w:pPr>
              <w:pStyle w:val="a9"/>
              <w:numPr>
                <w:ilvl w:val="0"/>
                <w:numId w:val="1"/>
              </w:numPr>
              <w:ind w:leftChars="100" w:left="420" w:hangingChars="100" w:hanging="210"/>
              <w:contextualSpacing w:val="0"/>
              <w:rPr>
                <w:rFonts w:ascii="ＭＳ 明朝" w:hAnsi="ＭＳ 明朝"/>
                <w:color w:val="000000" w:themeColor="text1"/>
                <w:szCs w:val="21"/>
              </w:rPr>
            </w:pPr>
            <w:r w:rsidRPr="00E4596D">
              <w:rPr>
                <w:rFonts w:ascii="ＭＳ 明朝" w:hAnsi="ＭＳ 明朝" w:hint="eastAsia"/>
                <w:color w:val="000000" w:themeColor="text1"/>
                <w:szCs w:val="21"/>
              </w:rPr>
              <w:t>建築物の用途制限</w:t>
            </w:r>
          </w:p>
          <w:p w14:paraId="3227B94F" w14:textId="77777777" w:rsidR="006276A8" w:rsidRPr="00E4596D" w:rsidRDefault="006276A8" w:rsidP="006276A8">
            <w:pPr>
              <w:pStyle w:val="a9"/>
              <w:numPr>
                <w:ilvl w:val="0"/>
                <w:numId w:val="1"/>
              </w:numPr>
              <w:ind w:leftChars="100" w:left="420" w:hangingChars="100" w:hanging="210"/>
              <w:contextualSpacing w:val="0"/>
              <w:rPr>
                <w:rFonts w:ascii="ＭＳ 明朝" w:hAnsi="ＭＳ 明朝"/>
                <w:color w:val="000000" w:themeColor="text1"/>
                <w:szCs w:val="21"/>
              </w:rPr>
            </w:pPr>
            <w:r w:rsidRPr="00E4596D">
              <w:rPr>
                <w:rFonts w:ascii="ＭＳ 明朝" w:hAnsi="ＭＳ 明朝" w:hint="eastAsia"/>
                <w:color w:val="000000" w:themeColor="text1"/>
                <w:szCs w:val="21"/>
              </w:rPr>
              <w:t>建築物の敷地面積の最低限度</w:t>
            </w:r>
          </w:p>
          <w:p w14:paraId="38FCC7CB" w14:textId="77777777" w:rsidR="006276A8" w:rsidRDefault="006276A8" w:rsidP="006276A8">
            <w:pPr>
              <w:pStyle w:val="a9"/>
              <w:numPr>
                <w:ilvl w:val="0"/>
                <w:numId w:val="1"/>
              </w:numPr>
              <w:ind w:leftChars="100" w:left="420" w:hangingChars="100" w:hanging="210"/>
              <w:contextualSpacing w:val="0"/>
              <w:rPr>
                <w:rFonts w:ascii="ＭＳ 明朝" w:hAnsi="ＭＳ 明朝"/>
                <w:color w:val="000000" w:themeColor="text1"/>
                <w:szCs w:val="21"/>
              </w:rPr>
            </w:pPr>
            <w:r w:rsidRPr="00E4596D">
              <w:rPr>
                <w:rFonts w:ascii="ＭＳ 明朝" w:hAnsi="ＭＳ 明朝" w:hint="eastAsia"/>
                <w:color w:val="000000" w:themeColor="text1"/>
                <w:szCs w:val="21"/>
              </w:rPr>
              <w:t>壁面の位置の制限</w:t>
            </w:r>
          </w:p>
          <w:p w14:paraId="54898425" w14:textId="1B3775EC" w:rsidR="006276A8" w:rsidRDefault="006276A8" w:rsidP="006276A8">
            <w:pPr>
              <w:pStyle w:val="a9"/>
              <w:numPr>
                <w:ilvl w:val="0"/>
                <w:numId w:val="1"/>
              </w:numPr>
              <w:ind w:leftChars="100" w:left="420" w:hangingChars="100" w:hanging="210"/>
              <w:contextualSpacing w:val="0"/>
              <w:rPr>
                <w:rFonts w:ascii="ＭＳ 明朝" w:hAnsi="ＭＳ 明朝"/>
                <w:color w:val="000000" w:themeColor="text1"/>
                <w:szCs w:val="21"/>
              </w:rPr>
            </w:pPr>
            <w:r w:rsidRPr="00F34F6C">
              <w:rPr>
                <w:rFonts w:ascii="ＭＳ 明朝" w:hAnsi="ＭＳ 明朝" w:hint="eastAsia"/>
                <w:color w:val="000000" w:themeColor="text1"/>
                <w:szCs w:val="21"/>
              </w:rPr>
              <w:t>歩道</w:t>
            </w:r>
            <w:r w:rsidRPr="006276A8">
              <w:rPr>
                <w:rFonts w:ascii="ＭＳ 明朝" w:hAnsi="ＭＳ 明朝" w:hint="eastAsia"/>
                <w:color w:val="FF0000"/>
                <w:szCs w:val="21"/>
              </w:rPr>
              <w:t>状</w:t>
            </w:r>
            <w:r w:rsidRPr="00F34F6C">
              <w:rPr>
                <w:rFonts w:ascii="ＭＳ 明朝" w:hAnsi="ＭＳ 明朝" w:hint="eastAsia"/>
                <w:color w:val="000000" w:themeColor="text1"/>
                <w:szCs w:val="21"/>
              </w:rPr>
              <w:t>空地または多目的空地</w:t>
            </w:r>
          </w:p>
          <w:p w14:paraId="78DAFC11" w14:textId="42D02469" w:rsidR="00B36A37" w:rsidRPr="00BC31DA" w:rsidRDefault="00BC31DA" w:rsidP="006276A8">
            <w:pPr>
              <w:pStyle w:val="a9"/>
              <w:numPr>
                <w:ilvl w:val="0"/>
                <w:numId w:val="1"/>
              </w:numPr>
              <w:ind w:leftChars="100" w:left="420" w:hangingChars="100" w:hanging="210"/>
              <w:contextualSpacing w:val="0"/>
              <w:rPr>
                <w:rFonts w:ascii="ＭＳ 明朝" w:hAnsi="ＭＳ 明朝"/>
                <w:color w:val="000000" w:themeColor="text1"/>
                <w:szCs w:val="21"/>
              </w:rPr>
            </w:pPr>
            <w:r w:rsidRPr="00E4596D">
              <w:rPr>
                <w:rFonts w:ascii="ＭＳ 明朝" w:hAnsi="ＭＳ 明朝" w:hint="eastAsia"/>
                <w:color w:val="000000" w:themeColor="text1"/>
                <w:szCs w:val="21"/>
              </w:rPr>
              <w:t>建築物その他の工作物の形態又は意匠の制限</w:t>
            </w:r>
            <w:r w:rsidRPr="002F100B">
              <w:rPr>
                <w:rFonts w:ascii="ＭＳ 明朝" w:hAnsi="ＭＳ 明朝" w:hint="eastAsia"/>
                <w:color w:val="000000" w:themeColor="text1"/>
                <w:szCs w:val="21"/>
              </w:rPr>
              <w:t>（レガシー</w:t>
            </w:r>
            <w:r>
              <w:rPr>
                <w:rFonts w:ascii="ＭＳ 明朝" w:hAnsi="ＭＳ 明朝" w:hint="eastAsia"/>
                <w:color w:val="000000" w:themeColor="text1"/>
                <w:szCs w:val="21"/>
              </w:rPr>
              <w:t>の継承及び維持管理</w:t>
            </w:r>
            <w:r w:rsidRPr="002F100B">
              <w:rPr>
                <w:rFonts w:ascii="ＭＳ 明朝" w:hAnsi="ＭＳ 明朝" w:hint="eastAsia"/>
                <w:color w:val="000000" w:themeColor="text1"/>
                <w:szCs w:val="21"/>
              </w:rPr>
              <w:t>）</w:t>
            </w:r>
            <w:r w:rsidRPr="00723EB7">
              <w:rPr>
                <w:rFonts w:ascii="ＭＳ 明朝" w:hAnsi="ＭＳ 明朝" w:hint="eastAsia"/>
                <w:color w:val="000000" w:themeColor="text1"/>
                <w:szCs w:val="21"/>
              </w:rPr>
              <w:t>など</w:t>
            </w:r>
          </w:p>
        </w:tc>
      </w:tr>
      <w:tr w:rsidR="00B36A37" w14:paraId="5054D5CA" w14:textId="77777777" w:rsidTr="0092151B">
        <w:tc>
          <w:tcPr>
            <w:tcW w:w="562" w:type="dxa"/>
          </w:tcPr>
          <w:p w14:paraId="72643C0E" w14:textId="29E08A3B" w:rsidR="00B36A37" w:rsidRDefault="00B36A37" w:rsidP="00B36A37">
            <w:pPr>
              <w:jc w:val="center"/>
            </w:pPr>
            <w:r w:rsidRPr="00EF4BB2">
              <w:t>43</w:t>
            </w:r>
          </w:p>
        </w:tc>
        <w:tc>
          <w:tcPr>
            <w:tcW w:w="1134" w:type="dxa"/>
          </w:tcPr>
          <w:p w14:paraId="0A60E9B6" w14:textId="5B5C235B" w:rsidR="00B36A37" w:rsidRDefault="00B36A37" w:rsidP="00B36A37">
            <w:pPr>
              <w:jc w:val="center"/>
            </w:pPr>
            <w:r w:rsidRPr="00EF4BB2">
              <w:rPr>
                <w:rFonts w:hint="eastAsia"/>
              </w:rPr>
              <w:t>Ⅵ</w:t>
            </w:r>
            <w:r w:rsidRPr="00EF4BB2">
              <w:t>-4</w:t>
            </w:r>
          </w:p>
        </w:tc>
        <w:tc>
          <w:tcPr>
            <w:tcW w:w="9214" w:type="dxa"/>
          </w:tcPr>
          <w:p w14:paraId="11949874" w14:textId="77777777" w:rsidR="00B36A37" w:rsidRDefault="00B36A37" w:rsidP="00B36A37">
            <w:r>
              <w:rPr>
                <w:rFonts w:hint="eastAsia"/>
              </w:rPr>
              <w:t>４．募集条件の変更等</w:t>
            </w:r>
          </w:p>
          <w:p w14:paraId="0CA9520A" w14:textId="77777777" w:rsidR="00B36A37" w:rsidRDefault="00B36A37" w:rsidP="00B36A37">
            <w:r>
              <w:rPr>
                <w:rFonts w:hint="eastAsia"/>
              </w:rPr>
              <w:t>・夢洲第２期区域マスタープラン</w:t>
            </w:r>
            <w:r>
              <w:t>Ver.2.0では、本件土地に隣接する「公園・緑地等ゾーン」について、「大屋根リングの部材の状態を確認したうえで、財源の確保の目途が立つことを前提に、大屋根リングの一部とその周辺エリアについて、府市において万博レガシーを将来世代へ継承する公園・緑地等として整備、維持管理することを検討」することとしています。</w:t>
            </w:r>
          </w:p>
          <w:p w14:paraId="56BD1070" w14:textId="77777777" w:rsidR="00B36A37" w:rsidRPr="00EF4BB2" w:rsidRDefault="00B36A37" w:rsidP="00B36A37">
            <w:pPr>
              <w:rPr>
                <w:color w:val="FF0000"/>
              </w:rPr>
            </w:pPr>
            <w:r w:rsidRPr="00EF4BB2">
              <w:rPr>
                <w:rFonts w:hint="eastAsia"/>
                <w:color w:val="FF0000"/>
              </w:rPr>
              <w:t>・当該ゾーンについては、２月下旬を目途に、夢洲第２期区域マスタープラン</w:t>
            </w:r>
            <w:r w:rsidRPr="00EF4BB2">
              <w:rPr>
                <w:color w:val="FF0000"/>
              </w:rPr>
              <w:t>Ver.3.0（案）においてその方向性を示し、その後、パブリック・コメントや議会議論を経て、令和８年春頃に策定</w:t>
            </w:r>
            <w:r w:rsidRPr="00EF4BB2">
              <w:rPr>
                <w:color w:val="FF0000"/>
              </w:rPr>
              <w:lastRenderedPageBreak/>
              <w:t>する夢洲第２期区域マスタープランVer.3.0において決定する予定です。</w:t>
            </w:r>
          </w:p>
          <w:p w14:paraId="2E2C8B7B" w14:textId="77777777" w:rsidR="00B36A37" w:rsidRPr="00EF4BB2" w:rsidRDefault="00B36A37" w:rsidP="00B36A37">
            <w:pPr>
              <w:rPr>
                <w:color w:val="FF0000"/>
              </w:rPr>
            </w:pPr>
            <w:r w:rsidRPr="00EF4BB2">
              <w:rPr>
                <w:rFonts w:hint="eastAsia"/>
                <w:color w:val="FF0000"/>
              </w:rPr>
              <w:t>・計画提案については、夢洲第２期区域マスタープラン</w:t>
            </w:r>
            <w:r w:rsidRPr="00EF4BB2">
              <w:rPr>
                <w:color w:val="FF0000"/>
              </w:rPr>
              <w:t>Ver.3.0（案）を基に検討いただき、最終的には夢洲第２期区域マスタープランVer.3.0に沿った内容としてください。</w:t>
            </w:r>
          </w:p>
          <w:p w14:paraId="42F2B213" w14:textId="7DEFABA5" w:rsidR="00B36A37" w:rsidRDefault="00B36A37" w:rsidP="00B36A37">
            <w:r>
              <w:rPr>
                <w:rFonts w:hint="eastAsia"/>
              </w:rPr>
              <w:t>・なお、夢洲第２期区域マスタープラン</w:t>
            </w:r>
            <w:r>
              <w:t>Ver.3.0の内容や策定スケジュール等により本募集に影響が生じると判断される際は、募集条件の変更を行う場合や中止の上、再募集を行う場合があります。こうした場合でも、府市は一切の責任を負いません。</w:t>
            </w:r>
          </w:p>
        </w:tc>
        <w:tc>
          <w:tcPr>
            <w:tcW w:w="9214" w:type="dxa"/>
          </w:tcPr>
          <w:p w14:paraId="43BDF676" w14:textId="77777777" w:rsidR="00B36A37" w:rsidRDefault="00B36A37" w:rsidP="00B36A37">
            <w:r>
              <w:rPr>
                <w:rFonts w:hint="eastAsia"/>
              </w:rPr>
              <w:lastRenderedPageBreak/>
              <w:t>４．募集条件の変更等</w:t>
            </w:r>
          </w:p>
          <w:p w14:paraId="69A4E402" w14:textId="77777777" w:rsidR="00B36A37" w:rsidRDefault="00B36A37" w:rsidP="00B36A37">
            <w:r>
              <w:rPr>
                <w:rFonts w:hint="eastAsia"/>
              </w:rPr>
              <w:t>・夢洲第２期区域マスタープラン</w:t>
            </w:r>
            <w:r>
              <w:t>Ver.2.0では、本件土地に隣接する「公園・緑地等ゾーン」について、「大屋根リングの部材の状態を確認したうえで、財源の確保の目途が立つことを前提に、大屋根リングの一部とその周辺エリアについて、府市において万博レガシーを将来世代へ継承する公園・緑地等として整備、維持管理することを検討」することとしています。</w:t>
            </w:r>
          </w:p>
          <w:p w14:paraId="75CC0414" w14:textId="77777777" w:rsidR="00B36A37" w:rsidRPr="00EF4BB2" w:rsidRDefault="00B36A37" w:rsidP="00B36A37">
            <w:pPr>
              <w:rPr>
                <w:color w:val="FF0000"/>
              </w:rPr>
            </w:pPr>
            <w:r w:rsidRPr="00EF4BB2">
              <w:rPr>
                <w:rFonts w:hint="eastAsia"/>
                <w:color w:val="FF0000"/>
              </w:rPr>
              <w:t>・府市では、令和８年２月</w:t>
            </w:r>
            <w:r w:rsidRPr="00EF4BB2">
              <w:rPr>
                <w:color w:val="FF0000"/>
              </w:rPr>
              <w:t>12日に副首都推進本部（大阪府市）会議を開催し、「記念公園ゾーン（夢洲第２期区域マスタープランVer.2.0では「公園・緑地等ゾーン」）」における万博レガシー</w:t>
            </w:r>
            <w:r w:rsidRPr="00EF4BB2">
              <w:rPr>
                <w:color w:val="FF0000"/>
              </w:rPr>
              <w:lastRenderedPageBreak/>
              <w:t>の継承と発信（記念公園・大屋根リング・記念館）の方針及び財源構成（案）について、国等の関係者と調整を行い、政府の２０２５年日本国際博覧会成果検証委員会や府議会・市会で議論を進めていくことや、夢洲第２期区域マスタープランVer.3.0（案）の作成方針について確認しました。</w:t>
            </w:r>
          </w:p>
          <w:p w14:paraId="2EC56DED" w14:textId="77777777" w:rsidR="00B36A37" w:rsidRPr="00EF4BB2" w:rsidRDefault="00B36A37" w:rsidP="00B36A37">
            <w:pPr>
              <w:rPr>
                <w:color w:val="FF0000"/>
              </w:rPr>
            </w:pPr>
            <w:r w:rsidRPr="00EF4BB2">
              <w:rPr>
                <w:rFonts w:hint="eastAsia"/>
                <w:color w:val="FF0000"/>
              </w:rPr>
              <w:t>・夢洲第２期区域マスタープラン</w:t>
            </w:r>
            <w:r w:rsidRPr="00EF4BB2">
              <w:rPr>
                <w:color w:val="FF0000"/>
              </w:rPr>
              <w:t>Ver.3.0（案）については、令和８年春頃に公表し、パブリック・コメントを実施した上で、夢洲第２期区域マスタープランVer.3.0を策定する予定です。</w:t>
            </w:r>
          </w:p>
          <w:p w14:paraId="6716DDE9" w14:textId="77777777" w:rsidR="00B36A37" w:rsidRPr="00EF4BB2" w:rsidRDefault="00B36A37" w:rsidP="00B36A37">
            <w:pPr>
              <w:rPr>
                <w:color w:val="FF0000"/>
              </w:rPr>
            </w:pPr>
            <w:r w:rsidRPr="00EF4BB2">
              <w:rPr>
                <w:rFonts w:hint="eastAsia"/>
                <w:color w:val="FF0000"/>
              </w:rPr>
              <w:t>・本募集にかかる計画提案については、上記の大阪副首都推進本部（大阪府市）会議で確認された夢洲第２期区域マスタープラン</w:t>
            </w:r>
            <w:r w:rsidRPr="00EF4BB2">
              <w:rPr>
                <w:color w:val="FF0000"/>
              </w:rPr>
              <w:t>Ver.3.0（案）作成方針を基に検討を進めてください。また、上述の手続きを経て策定される夢洲第２期区域マスタープランVer.3.0（案）の内容を確認するとともに、最終的には夢洲第２期区域マスタープランVer.3.0に沿った内容としてください。</w:t>
            </w:r>
          </w:p>
          <w:p w14:paraId="73A65D43" w14:textId="734C120D" w:rsidR="00B36A37" w:rsidRDefault="00B36A37" w:rsidP="00B36A37">
            <w:r>
              <w:rPr>
                <w:rFonts w:hint="eastAsia"/>
              </w:rPr>
              <w:t>・なお、夢洲第２期区域マスタープラン</w:t>
            </w:r>
            <w:r>
              <w:t>Ver.3.0の内容や策定スケジュール等により本募集に影響が生じると判断される際は、募集条件の変更を行う場合や中止の上、再募集を行う場合があります。こうした場合でも、府市は一切の責任を負いません。</w:t>
            </w:r>
          </w:p>
        </w:tc>
      </w:tr>
    </w:tbl>
    <w:p w14:paraId="3627733C" w14:textId="77777777" w:rsidR="00EF4BB2" w:rsidRDefault="00EF4BB2" w:rsidP="00EF4BB2"/>
    <w:sectPr w:rsidR="00EF4BB2" w:rsidSect="00C472A5">
      <w:pgSz w:w="23811" w:h="16838" w:orient="landscape" w:code="8"/>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CA97B" w14:textId="77777777" w:rsidR="001C3999" w:rsidRDefault="001C3999" w:rsidP="00FA0383">
      <w:r>
        <w:separator/>
      </w:r>
    </w:p>
  </w:endnote>
  <w:endnote w:type="continuationSeparator" w:id="0">
    <w:p w14:paraId="259D78D5" w14:textId="77777777" w:rsidR="001C3999" w:rsidRDefault="001C3999" w:rsidP="00FA0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324DF" w14:textId="77777777" w:rsidR="001C3999" w:rsidRDefault="001C3999" w:rsidP="00FA0383">
      <w:r>
        <w:separator/>
      </w:r>
    </w:p>
  </w:footnote>
  <w:footnote w:type="continuationSeparator" w:id="0">
    <w:p w14:paraId="28F14547" w14:textId="77777777" w:rsidR="001C3999" w:rsidRDefault="001C3999" w:rsidP="00FA0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7C4"/>
    <w:multiLevelType w:val="hybridMultilevel"/>
    <w:tmpl w:val="69B26E24"/>
    <w:lvl w:ilvl="0" w:tplc="4F76DD08">
      <w:start w:val="1"/>
      <w:numFmt w:val="bullet"/>
      <w:lvlText w:val=""/>
      <w:lvlJc w:val="left"/>
      <w:pPr>
        <w:ind w:left="704" w:hanging="420"/>
      </w:pPr>
      <w:rPr>
        <w:rFonts w:ascii="Wingdings" w:hAnsi="Wingdings" w:hint="default"/>
      </w:rPr>
    </w:lvl>
    <w:lvl w:ilvl="1" w:tplc="396EAB8E" w:tentative="1">
      <w:start w:val="1"/>
      <w:numFmt w:val="bullet"/>
      <w:lvlText w:val=""/>
      <w:lvlJc w:val="left"/>
      <w:pPr>
        <w:ind w:left="2380" w:hanging="420"/>
      </w:pPr>
      <w:rPr>
        <w:rFonts w:ascii="Wingdings" w:hAnsi="Wingdings" w:hint="default"/>
      </w:rPr>
    </w:lvl>
    <w:lvl w:ilvl="2" w:tplc="E33AA8F8" w:tentative="1">
      <w:start w:val="1"/>
      <w:numFmt w:val="bullet"/>
      <w:lvlText w:val=""/>
      <w:lvlJc w:val="left"/>
      <w:pPr>
        <w:ind w:left="2800" w:hanging="420"/>
      </w:pPr>
      <w:rPr>
        <w:rFonts w:ascii="Wingdings" w:hAnsi="Wingdings" w:hint="default"/>
      </w:rPr>
    </w:lvl>
    <w:lvl w:ilvl="3" w:tplc="CB6C8088" w:tentative="1">
      <w:start w:val="1"/>
      <w:numFmt w:val="bullet"/>
      <w:lvlText w:val=""/>
      <w:lvlJc w:val="left"/>
      <w:pPr>
        <w:ind w:left="3220" w:hanging="420"/>
      </w:pPr>
      <w:rPr>
        <w:rFonts w:ascii="Wingdings" w:hAnsi="Wingdings" w:hint="default"/>
      </w:rPr>
    </w:lvl>
    <w:lvl w:ilvl="4" w:tplc="4B16EFA4" w:tentative="1">
      <w:start w:val="1"/>
      <w:numFmt w:val="bullet"/>
      <w:lvlText w:val=""/>
      <w:lvlJc w:val="left"/>
      <w:pPr>
        <w:ind w:left="3640" w:hanging="420"/>
      </w:pPr>
      <w:rPr>
        <w:rFonts w:ascii="Wingdings" w:hAnsi="Wingdings" w:hint="default"/>
      </w:rPr>
    </w:lvl>
    <w:lvl w:ilvl="5" w:tplc="00004B14" w:tentative="1">
      <w:start w:val="1"/>
      <w:numFmt w:val="bullet"/>
      <w:lvlText w:val=""/>
      <w:lvlJc w:val="left"/>
      <w:pPr>
        <w:ind w:left="4060" w:hanging="420"/>
      </w:pPr>
      <w:rPr>
        <w:rFonts w:ascii="Wingdings" w:hAnsi="Wingdings" w:hint="default"/>
      </w:rPr>
    </w:lvl>
    <w:lvl w:ilvl="6" w:tplc="C5E46394" w:tentative="1">
      <w:start w:val="1"/>
      <w:numFmt w:val="bullet"/>
      <w:lvlText w:val=""/>
      <w:lvlJc w:val="left"/>
      <w:pPr>
        <w:ind w:left="4480" w:hanging="420"/>
      </w:pPr>
      <w:rPr>
        <w:rFonts w:ascii="Wingdings" w:hAnsi="Wingdings" w:hint="default"/>
      </w:rPr>
    </w:lvl>
    <w:lvl w:ilvl="7" w:tplc="A594D1C6" w:tentative="1">
      <w:start w:val="1"/>
      <w:numFmt w:val="bullet"/>
      <w:lvlText w:val=""/>
      <w:lvlJc w:val="left"/>
      <w:pPr>
        <w:ind w:left="4900" w:hanging="420"/>
      </w:pPr>
      <w:rPr>
        <w:rFonts w:ascii="Wingdings" w:hAnsi="Wingdings" w:hint="default"/>
      </w:rPr>
    </w:lvl>
    <w:lvl w:ilvl="8" w:tplc="40F0872A" w:tentative="1">
      <w:start w:val="1"/>
      <w:numFmt w:val="bullet"/>
      <w:lvlText w:val=""/>
      <w:lvlJc w:val="left"/>
      <w:pPr>
        <w:ind w:left="5320" w:hanging="420"/>
      </w:pPr>
      <w:rPr>
        <w:rFonts w:ascii="Wingdings" w:hAnsi="Wingdings" w:hint="default"/>
      </w:rPr>
    </w:lvl>
  </w:abstractNum>
  <w:num w:numId="1" w16cid:durableId="2119177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BB2"/>
    <w:rsid w:val="00021FB2"/>
    <w:rsid w:val="00062484"/>
    <w:rsid w:val="000B6B9B"/>
    <w:rsid w:val="001C3999"/>
    <w:rsid w:val="002548F4"/>
    <w:rsid w:val="002F3A78"/>
    <w:rsid w:val="003311C6"/>
    <w:rsid w:val="003A6B86"/>
    <w:rsid w:val="003F1020"/>
    <w:rsid w:val="003F1E7C"/>
    <w:rsid w:val="00427763"/>
    <w:rsid w:val="00433438"/>
    <w:rsid w:val="0044628F"/>
    <w:rsid w:val="00553BE3"/>
    <w:rsid w:val="00566E46"/>
    <w:rsid w:val="005902F4"/>
    <w:rsid w:val="005B5179"/>
    <w:rsid w:val="0060066A"/>
    <w:rsid w:val="006276A8"/>
    <w:rsid w:val="00690819"/>
    <w:rsid w:val="006C0CD3"/>
    <w:rsid w:val="0071619A"/>
    <w:rsid w:val="00755C3F"/>
    <w:rsid w:val="00850773"/>
    <w:rsid w:val="00851002"/>
    <w:rsid w:val="00887D46"/>
    <w:rsid w:val="008C7DE0"/>
    <w:rsid w:val="0092151B"/>
    <w:rsid w:val="00977F4E"/>
    <w:rsid w:val="009F6057"/>
    <w:rsid w:val="00AA1377"/>
    <w:rsid w:val="00AA3EBA"/>
    <w:rsid w:val="00AD4D7F"/>
    <w:rsid w:val="00AF2C80"/>
    <w:rsid w:val="00B23BAA"/>
    <w:rsid w:val="00B36A37"/>
    <w:rsid w:val="00B51614"/>
    <w:rsid w:val="00BC31DA"/>
    <w:rsid w:val="00BC728F"/>
    <w:rsid w:val="00BF2400"/>
    <w:rsid w:val="00C159AE"/>
    <w:rsid w:val="00C472A5"/>
    <w:rsid w:val="00C9674F"/>
    <w:rsid w:val="00CF5AE1"/>
    <w:rsid w:val="00D35716"/>
    <w:rsid w:val="00DE1798"/>
    <w:rsid w:val="00E21EC9"/>
    <w:rsid w:val="00E66EC2"/>
    <w:rsid w:val="00EE5A4E"/>
    <w:rsid w:val="00EF4BB2"/>
    <w:rsid w:val="00FA0383"/>
    <w:rsid w:val="00FA09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9C17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6A8"/>
    <w:pPr>
      <w:widowControl w:val="0"/>
      <w:jc w:val="both"/>
    </w:pPr>
  </w:style>
  <w:style w:type="paragraph" w:styleId="1">
    <w:name w:val="heading 1"/>
    <w:basedOn w:val="a"/>
    <w:next w:val="a"/>
    <w:link w:val="10"/>
    <w:uiPriority w:val="9"/>
    <w:qFormat/>
    <w:rsid w:val="00EF4BB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F4BB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F4BB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F4BB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F4BB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F4BB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F4BB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F4BB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F4BB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4B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F4B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F4BB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F4B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F4B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F4B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F4B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F4B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F4BB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F4BB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F4B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4BB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F4B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4BB2"/>
    <w:pPr>
      <w:spacing w:before="160" w:after="160"/>
      <w:jc w:val="center"/>
    </w:pPr>
    <w:rPr>
      <w:i/>
      <w:iCs/>
      <w:color w:val="404040" w:themeColor="text1" w:themeTint="BF"/>
    </w:rPr>
  </w:style>
  <w:style w:type="character" w:customStyle="1" w:styleId="a8">
    <w:name w:val="引用文 (文字)"/>
    <w:basedOn w:val="a0"/>
    <w:link w:val="a7"/>
    <w:uiPriority w:val="29"/>
    <w:rsid w:val="00EF4BB2"/>
    <w:rPr>
      <w:i/>
      <w:iCs/>
      <w:color w:val="404040" w:themeColor="text1" w:themeTint="BF"/>
    </w:rPr>
  </w:style>
  <w:style w:type="paragraph" w:styleId="a9">
    <w:name w:val="List Paragraph"/>
    <w:basedOn w:val="a"/>
    <w:uiPriority w:val="34"/>
    <w:qFormat/>
    <w:rsid w:val="00EF4BB2"/>
    <w:pPr>
      <w:ind w:left="720"/>
      <w:contextualSpacing/>
    </w:pPr>
  </w:style>
  <w:style w:type="character" w:styleId="21">
    <w:name w:val="Intense Emphasis"/>
    <w:basedOn w:val="a0"/>
    <w:uiPriority w:val="21"/>
    <w:qFormat/>
    <w:rsid w:val="00EF4BB2"/>
    <w:rPr>
      <w:i/>
      <w:iCs/>
      <w:color w:val="0F4761" w:themeColor="accent1" w:themeShade="BF"/>
    </w:rPr>
  </w:style>
  <w:style w:type="paragraph" w:styleId="22">
    <w:name w:val="Intense Quote"/>
    <w:basedOn w:val="a"/>
    <w:next w:val="a"/>
    <w:link w:val="23"/>
    <w:uiPriority w:val="30"/>
    <w:qFormat/>
    <w:rsid w:val="00EF4B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F4BB2"/>
    <w:rPr>
      <w:i/>
      <w:iCs/>
      <w:color w:val="0F4761" w:themeColor="accent1" w:themeShade="BF"/>
    </w:rPr>
  </w:style>
  <w:style w:type="character" w:styleId="24">
    <w:name w:val="Intense Reference"/>
    <w:basedOn w:val="a0"/>
    <w:uiPriority w:val="32"/>
    <w:qFormat/>
    <w:rsid w:val="00EF4BB2"/>
    <w:rPr>
      <w:b/>
      <w:bCs/>
      <w:smallCaps/>
      <w:color w:val="0F4761" w:themeColor="accent1" w:themeShade="BF"/>
      <w:spacing w:val="5"/>
    </w:rPr>
  </w:style>
  <w:style w:type="paragraph" w:styleId="aa">
    <w:name w:val="Date"/>
    <w:basedOn w:val="a"/>
    <w:next w:val="a"/>
    <w:link w:val="ab"/>
    <w:uiPriority w:val="99"/>
    <w:semiHidden/>
    <w:unhideWhenUsed/>
    <w:rsid w:val="00EF4BB2"/>
  </w:style>
  <w:style w:type="character" w:customStyle="1" w:styleId="ab">
    <w:name w:val="日付 (文字)"/>
    <w:basedOn w:val="a0"/>
    <w:link w:val="aa"/>
    <w:uiPriority w:val="99"/>
    <w:semiHidden/>
    <w:rsid w:val="00EF4BB2"/>
  </w:style>
  <w:style w:type="table" w:styleId="ac">
    <w:name w:val="Table Grid"/>
    <w:basedOn w:val="a1"/>
    <w:uiPriority w:val="39"/>
    <w:rsid w:val="00EF4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FA0383"/>
    <w:pPr>
      <w:tabs>
        <w:tab w:val="center" w:pos="4252"/>
        <w:tab w:val="right" w:pos="8504"/>
      </w:tabs>
      <w:snapToGrid w:val="0"/>
    </w:pPr>
  </w:style>
  <w:style w:type="character" w:customStyle="1" w:styleId="ae">
    <w:name w:val="ヘッダー (文字)"/>
    <w:basedOn w:val="a0"/>
    <w:link w:val="ad"/>
    <w:uiPriority w:val="99"/>
    <w:rsid w:val="00FA0383"/>
  </w:style>
  <w:style w:type="paragraph" w:styleId="af">
    <w:name w:val="footer"/>
    <w:basedOn w:val="a"/>
    <w:link w:val="af0"/>
    <w:uiPriority w:val="99"/>
    <w:unhideWhenUsed/>
    <w:rsid w:val="00FA0383"/>
    <w:pPr>
      <w:tabs>
        <w:tab w:val="center" w:pos="4252"/>
        <w:tab w:val="right" w:pos="8504"/>
      </w:tabs>
      <w:snapToGrid w:val="0"/>
    </w:pPr>
  </w:style>
  <w:style w:type="character" w:customStyle="1" w:styleId="af0">
    <w:name w:val="フッター (文字)"/>
    <w:basedOn w:val="a0"/>
    <w:link w:val="af"/>
    <w:uiPriority w:val="99"/>
    <w:rsid w:val="00FA0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691</Words>
  <Characters>3941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2026-02-25T01:55:00Z</dcterms:created>
  <dcterms:modified xsi:type="dcterms:W3CDTF">2026-02-25T01:55:00Z</dcterms:modified>
</cp:coreProperties>
</file>