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35A4" w14:textId="374C439A" w:rsidR="00961D85" w:rsidRPr="00937DCA" w:rsidRDefault="00C83A06">
      <w:pPr>
        <w:rPr>
          <w:sz w:val="22"/>
        </w:rPr>
      </w:pPr>
      <w:r>
        <w:rPr>
          <w:rFonts w:hint="eastAsia"/>
          <w:sz w:val="22"/>
        </w:rPr>
        <w:t>令和</w:t>
      </w:r>
      <w:r w:rsidR="00776D18">
        <w:rPr>
          <w:rFonts w:hint="eastAsia"/>
          <w:sz w:val="22"/>
        </w:rPr>
        <w:t>８</w:t>
      </w:r>
      <w:r w:rsidR="00B961C8">
        <w:rPr>
          <w:rFonts w:hint="eastAsia"/>
          <w:sz w:val="22"/>
        </w:rPr>
        <w:t>年度「</w:t>
      </w:r>
      <w:r w:rsidR="00961D85" w:rsidRPr="00937DCA">
        <w:rPr>
          <w:sz w:val="22"/>
        </w:rPr>
        <w:t>大阪</w:t>
      </w:r>
      <w:r w:rsidR="0059397C">
        <w:rPr>
          <w:rFonts w:hint="eastAsia"/>
          <w:sz w:val="22"/>
        </w:rPr>
        <w:t>ＩＲ</w:t>
      </w:r>
      <w:r w:rsidR="00961D85" w:rsidRPr="00937DCA">
        <w:rPr>
          <w:sz w:val="22"/>
        </w:rPr>
        <w:t>（統合型リゾート）説明会</w:t>
      </w:r>
      <w:r w:rsidR="00B961C8">
        <w:rPr>
          <w:rFonts w:hint="eastAsia"/>
          <w:sz w:val="22"/>
        </w:rPr>
        <w:t>」（第</w:t>
      </w:r>
      <w:r w:rsidR="00776D18">
        <w:rPr>
          <w:rFonts w:hint="eastAsia"/>
          <w:sz w:val="22"/>
        </w:rPr>
        <w:t>２</w:t>
      </w:r>
      <w:r w:rsidR="00B961C8">
        <w:rPr>
          <w:rFonts w:hint="eastAsia"/>
          <w:sz w:val="22"/>
        </w:rPr>
        <w:t>回）</w:t>
      </w:r>
      <w:r w:rsidR="00961D85" w:rsidRPr="00937DCA">
        <w:rPr>
          <w:sz w:val="22"/>
        </w:rPr>
        <w:t xml:space="preserve">　アンケートによる質問について</w:t>
      </w:r>
    </w:p>
    <w:p w14:paraId="748AEC1A" w14:textId="3CFE7D93" w:rsidR="00961D85" w:rsidRDefault="00961D85" w:rsidP="00961D85">
      <w:pPr>
        <w:ind w:firstLineChars="100" w:firstLine="210"/>
      </w:pPr>
      <w:r>
        <w:rPr>
          <w:rFonts w:hint="eastAsia"/>
        </w:rPr>
        <w:t>●</w:t>
      </w:r>
      <w:r w:rsidRPr="00452F14">
        <w:rPr>
          <w:rFonts w:hint="eastAsia"/>
        </w:rPr>
        <w:t xml:space="preserve">受付件数　</w:t>
      </w:r>
      <w:r w:rsidR="00367060">
        <w:rPr>
          <w:rFonts w:hint="eastAsia"/>
        </w:rPr>
        <w:t>４</w:t>
      </w:r>
      <w:r w:rsidRPr="00452F14">
        <w:rPr>
          <w:rFonts w:hint="eastAsia"/>
        </w:rPr>
        <w:t>件</w:t>
      </w:r>
      <w:r w:rsidR="00597074">
        <w:rPr>
          <w:rFonts w:hint="eastAsia"/>
        </w:rPr>
        <w:t xml:space="preserve">　　　　　　　　　　　　　　　　　　　　　　　　　　　　　　　　　　　　</w:t>
      </w:r>
      <w:r w:rsidR="00334CE0">
        <w:rPr>
          <w:rFonts w:hint="eastAsia"/>
        </w:rPr>
        <w:t xml:space="preserve">　　　　　　　　　　　　　　</w:t>
      </w:r>
      <w:r w:rsidR="00D24697">
        <w:rPr>
          <w:rFonts w:hint="eastAsia"/>
        </w:rPr>
        <w:t xml:space="preserve">　　　　　　　　　　　　　　</w:t>
      </w:r>
    </w:p>
    <w:tbl>
      <w:tblPr>
        <w:tblStyle w:val="a3"/>
        <w:tblW w:w="15446" w:type="dxa"/>
        <w:tblLook w:val="04A0" w:firstRow="1" w:lastRow="0" w:firstColumn="1" w:lastColumn="0" w:noHBand="0" w:noVBand="1"/>
      </w:tblPr>
      <w:tblGrid>
        <w:gridCol w:w="704"/>
        <w:gridCol w:w="5528"/>
        <w:gridCol w:w="9214"/>
      </w:tblGrid>
      <w:tr w:rsidR="00353BB7" w14:paraId="46CCAE9B" w14:textId="77777777" w:rsidTr="00353BB7">
        <w:trPr>
          <w:trHeight w:val="317"/>
        </w:trPr>
        <w:tc>
          <w:tcPr>
            <w:tcW w:w="704" w:type="dxa"/>
          </w:tcPr>
          <w:p w14:paraId="7F95ACE6" w14:textId="77777777" w:rsidR="00353BB7" w:rsidRDefault="00353BB7" w:rsidP="000411BF">
            <w:pPr>
              <w:jc w:val="center"/>
              <w:rPr>
                <w:sz w:val="20"/>
                <w:szCs w:val="20"/>
              </w:rPr>
            </w:pPr>
          </w:p>
        </w:tc>
        <w:tc>
          <w:tcPr>
            <w:tcW w:w="5528" w:type="dxa"/>
          </w:tcPr>
          <w:p w14:paraId="2C16EF30" w14:textId="6A6A665C" w:rsidR="00353BB7" w:rsidRPr="00106C95" w:rsidRDefault="00353BB7" w:rsidP="00353BB7">
            <w:pPr>
              <w:ind w:firstLineChars="100" w:firstLine="200"/>
              <w:jc w:val="center"/>
              <w:rPr>
                <w:sz w:val="20"/>
                <w:szCs w:val="20"/>
              </w:rPr>
            </w:pPr>
            <w:r>
              <w:rPr>
                <w:rFonts w:hint="eastAsia"/>
                <w:sz w:val="20"/>
                <w:szCs w:val="20"/>
              </w:rPr>
              <w:t>質問</w:t>
            </w:r>
          </w:p>
        </w:tc>
        <w:tc>
          <w:tcPr>
            <w:tcW w:w="9214" w:type="dxa"/>
          </w:tcPr>
          <w:p w14:paraId="06E2D331" w14:textId="0981B594" w:rsidR="00353BB7" w:rsidRPr="00334CE0" w:rsidRDefault="00353BB7" w:rsidP="00353BB7">
            <w:pPr>
              <w:ind w:firstLineChars="100" w:firstLine="200"/>
              <w:jc w:val="center"/>
              <w:rPr>
                <w:sz w:val="20"/>
                <w:szCs w:val="20"/>
              </w:rPr>
            </w:pPr>
            <w:r>
              <w:rPr>
                <w:rFonts w:hint="eastAsia"/>
                <w:sz w:val="20"/>
                <w:szCs w:val="20"/>
              </w:rPr>
              <w:t>回答</w:t>
            </w:r>
          </w:p>
        </w:tc>
      </w:tr>
      <w:tr w:rsidR="0034417C" w14:paraId="29B86DFC" w14:textId="77777777" w:rsidTr="00713A2E">
        <w:trPr>
          <w:trHeight w:val="1077"/>
        </w:trPr>
        <w:tc>
          <w:tcPr>
            <w:tcW w:w="704" w:type="dxa"/>
          </w:tcPr>
          <w:p w14:paraId="5498D147" w14:textId="193D5EA0" w:rsidR="0034417C" w:rsidRPr="0097787D" w:rsidRDefault="00012D51" w:rsidP="000411BF">
            <w:pPr>
              <w:jc w:val="center"/>
              <w:rPr>
                <w:sz w:val="20"/>
                <w:szCs w:val="20"/>
              </w:rPr>
            </w:pPr>
            <w:r>
              <w:rPr>
                <w:rFonts w:hint="eastAsia"/>
                <w:sz w:val="20"/>
                <w:szCs w:val="20"/>
              </w:rPr>
              <w:t>1</w:t>
            </w:r>
          </w:p>
        </w:tc>
        <w:tc>
          <w:tcPr>
            <w:tcW w:w="5528" w:type="dxa"/>
          </w:tcPr>
          <w:p w14:paraId="05A179C5" w14:textId="5DC453D0" w:rsidR="00597074" w:rsidRPr="0059397C" w:rsidRDefault="00776D18" w:rsidP="00367060">
            <w:pPr>
              <w:ind w:firstLineChars="100" w:firstLine="200"/>
              <w:rPr>
                <w:sz w:val="20"/>
                <w:szCs w:val="20"/>
              </w:rPr>
            </w:pPr>
            <w:r w:rsidRPr="00776D18">
              <w:rPr>
                <w:rFonts w:hint="eastAsia"/>
                <w:sz w:val="20"/>
                <w:szCs w:val="20"/>
              </w:rPr>
              <w:t>ギャンブル依存症センターの範囲について、カジノ他のことも含まれるのですが、例えば、パチンコ依存症でも対応してくれるのか？</w:t>
            </w:r>
            <w:r w:rsidR="00367060" w:rsidRPr="0059397C">
              <w:rPr>
                <w:sz w:val="20"/>
                <w:szCs w:val="20"/>
              </w:rPr>
              <w:t xml:space="preserve"> </w:t>
            </w:r>
          </w:p>
        </w:tc>
        <w:tc>
          <w:tcPr>
            <w:tcW w:w="9214" w:type="dxa"/>
          </w:tcPr>
          <w:p w14:paraId="1EC94067" w14:textId="361B5B7B" w:rsidR="0034417C" w:rsidRPr="00C45DDF" w:rsidRDefault="00CD1F95" w:rsidP="00367060">
            <w:pPr>
              <w:ind w:firstLineChars="100" w:firstLine="200"/>
              <w:rPr>
                <w:sz w:val="20"/>
                <w:szCs w:val="20"/>
              </w:rPr>
            </w:pPr>
            <w:r w:rsidRPr="00BA5425">
              <w:rPr>
                <w:rFonts w:hint="eastAsia"/>
                <w:sz w:val="20"/>
                <w:szCs w:val="20"/>
              </w:rPr>
              <w:t>「（仮称）大阪依存症対策センター」については、パチンコも含めた既存のギャンブル等に起因するものを含めて、より多くのギャンブル等依存症に悩む人が気軽に相談等の必要な支援を受けることができるよう、交通至便な場所にワンストップ支援拠点</w:t>
            </w:r>
            <w:r w:rsidR="009D04EE">
              <w:rPr>
                <w:rFonts w:hint="eastAsia"/>
                <w:sz w:val="20"/>
                <w:szCs w:val="20"/>
              </w:rPr>
              <w:t>を</w:t>
            </w:r>
            <w:r w:rsidRPr="00BA5425">
              <w:rPr>
                <w:rFonts w:hint="eastAsia"/>
                <w:sz w:val="20"/>
                <w:szCs w:val="20"/>
              </w:rPr>
              <w:t>開設することにより、ＩＲ開業に向け、新たな支援拠点を中心とした総合的な支援体制の強化・拡充を図ることとしています。</w:t>
            </w:r>
          </w:p>
        </w:tc>
      </w:tr>
      <w:tr w:rsidR="00367060" w14:paraId="79F9D809" w14:textId="77777777" w:rsidTr="00713A2E">
        <w:trPr>
          <w:trHeight w:val="1077"/>
        </w:trPr>
        <w:tc>
          <w:tcPr>
            <w:tcW w:w="704" w:type="dxa"/>
          </w:tcPr>
          <w:p w14:paraId="10728C1D" w14:textId="632B55AF" w:rsidR="00367060" w:rsidRDefault="00367060" w:rsidP="000411BF">
            <w:pPr>
              <w:jc w:val="center"/>
              <w:rPr>
                <w:sz w:val="20"/>
                <w:szCs w:val="20"/>
              </w:rPr>
            </w:pPr>
            <w:r>
              <w:rPr>
                <w:rFonts w:hint="eastAsia"/>
                <w:sz w:val="20"/>
                <w:szCs w:val="20"/>
              </w:rPr>
              <w:t>２</w:t>
            </w:r>
          </w:p>
        </w:tc>
        <w:tc>
          <w:tcPr>
            <w:tcW w:w="5528" w:type="dxa"/>
          </w:tcPr>
          <w:p w14:paraId="157600D1" w14:textId="4FD0334B" w:rsidR="00367060" w:rsidRPr="00776D18" w:rsidRDefault="00367060" w:rsidP="00367060">
            <w:pPr>
              <w:ind w:firstLineChars="100" w:firstLine="200"/>
              <w:rPr>
                <w:sz w:val="20"/>
                <w:szCs w:val="20"/>
              </w:rPr>
            </w:pPr>
            <w:r w:rsidRPr="00776D18">
              <w:rPr>
                <w:rFonts w:hint="eastAsia"/>
                <w:sz w:val="20"/>
                <w:szCs w:val="20"/>
              </w:rPr>
              <w:t>ギャンブル依存症対策の経緯を教えて欲しい。なぜ、パチンコや公営ギャンブルがあるのに、カジノだけが対策を求められるのか？他の公営ギャンブルやパチンコ対策とカジノは別分野でしょうか。整合性がとれていないような感覚を受けました。</w:t>
            </w:r>
          </w:p>
        </w:tc>
        <w:tc>
          <w:tcPr>
            <w:tcW w:w="9214" w:type="dxa"/>
          </w:tcPr>
          <w:p w14:paraId="1455A22A" w14:textId="38231B50" w:rsidR="00367060" w:rsidRPr="00BA5425" w:rsidRDefault="00367060" w:rsidP="00367060">
            <w:pPr>
              <w:ind w:firstLineChars="100" w:firstLine="200"/>
              <w:rPr>
                <w:sz w:val="20"/>
                <w:szCs w:val="20"/>
              </w:rPr>
            </w:pPr>
            <w:r w:rsidRPr="00BA5425">
              <w:rPr>
                <w:rFonts w:hint="eastAsia"/>
                <w:sz w:val="20"/>
                <w:szCs w:val="20"/>
              </w:rPr>
              <w:t>国におけるギャンブル等依存症対策については、平成</w:t>
            </w:r>
            <w:r w:rsidRPr="00BA5425">
              <w:rPr>
                <w:sz w:val="20"/>
                <w:szCs w:val="20"/>
              </w:rPr>
              <w:t>29年施行の「特定複合観光施設区域の整備の推進に関する法律（ＩＲ推進法）」の附帯決議において、「ギャンブル等依存症患者への対策を抜本的に強化すること」や「カジノにとどまらず、他のギャンブル等に起因する依存症を含め、関係省庁が十分連携して包括的な取組を構築し、強化すること」等が決議されました。</w:t>
            </w:r>
          </w:p>
          <w:p w14:paraId="6B0A01F4" w14:textId="5A8448DE" w:rsidR="00367060" w:rsidRPr="00AF2400" w:rsidRDefault="009D04EE" w:rsidP="00905E6A">
            <w:pPr>
              <w:ind w:firstLineChars="100" w:firstLine="200"/>
              <w:rPr>
                <w:kern w:val="0"/>
                <w:sz w:val="20"/>
                <w:szCs w:val="20"/>
                <w:highlight w:val="green"/>
              </w:rPr>
            </w:pPr>
            <w:r>
              <w:rPr>
                <w:rFonts w:hint="eastAsia"/>
                <w:sz w:val="20"/>
                <w:szCs w:val="20"/>
              </w:rPr>
              <w:t>その後</w:t>
            </w:r>
            <w:r w:rsidR="00367060" w:rsidRPr="00BA5425">
              <w:rPr>
                <w:rFonts w:hint="eastAsia"/>
                <w:sz w:val="20"/>
                <w:szCs w:val="20"/>
              </w:rPr>
              <w:t>、平成</w:t>
            </w:r>
            <w:r w:rsidR="00367060" w:rsidRPr="00BA5425">
              <w:rPr>
                <w:sz w:val="20"/>
                <w:szCs w:val="20"/>
              </w:rPr>
              <w:t>30年に「ギャンブル等依存症対策基本法」が施行され、ギャンブル等依存症対策に関しては、国や地方公共団体、関係事業者、国民等の責務</w:t>
            </w:r>
            <w:r>
              <w:rPr>
                <w:rFonts w:hint="eastAsia"/>
                <w:sz w:val="20"/>
                <w:szCs w:val="20"/>
              </w:rPr>
              <w:t>が</w:t>
            </w:r>
            <w:r w:rsidR="00367060" w:rsidRPr="00BA5425">
              <w:rPr>
                <w:sz w:val="20"/>
                <w:szCs w:val="20"/>
              </w:rPr>
              <w:t>明らかに</w:t>
            </w:r>
            <w:r>
              <w:rPr>
                <w:rFonts w:hint="eastAsia"/>
                <w:sz w:val="20"/>
                <w:szCs w:val="20"/>
              </w:rPr>
              <w:t>され</w:t>
            </w:r>
            <w:r w:rsidR="007D2F44">
              <w:rPr>
                <w:rFonts w:hint="eastAsia"/>
                <w:sz w:val="20"/>
                <w:szCs w:val="20"/>
              </w:rPr>
              <w:t>ており</w:t>
            </w:r>
            <w:r w:rsidR="00111E70">
              <w:rPr>
                <w:rFonts w:hint="eastAsia"/>
                <w:sz w:val="20"/>
                <w:szCs w:val="20"/>
              </w:rPr>
              <w:t>、</w:t>
            </w:r>
            <w:r w:rsidR="005879B8">
              <w:rPr>
                <w:rFonts w:hint="eastAsia"/>
                <w:sz w:val="20"/>
                <w:szCs w:val="20"/>
              </w:rPr>
              <w:t>カジノだけでなく、</w:t>
            </w:r>
            <w:r w:rsidR="00034349">
              <w:rPr>
                <w:rFonts w:hint="eastAsia"/>
                <w:sz w:val="20"/>
                <w:szCs w:val="20"/>
              </w:rPr>
              <w:t>公営競技や</w:t>
            </w:r>
            <w:r w:rsidR="00111E70">
              <w:rPr>
                <w:rFonts w:hint="eastAsia"/>
                <w:sz w:val="20"/>
                <w:szCs w:val="20"/>
              </w:rPr>
              <w:t>パチンコ</w:t>
            </w:r>
            <w:r w:rsidR="00034349">
              <w:rPr>
                <w:rFonts w:hint="eastAsia"/>
                <w:sz w:val="20"/>
                <w:szCs w:val="20"/>
              </w:rPr>
              <w:t>等の実施に係る</w:t>
            </w:r>
            <w:r w:rsidR="0052237B">
              <w:rPr>
                <w:rFonts w:hint="eastAsia"/>
                <w:sz w:val="20"/>
                <w:szCs w:val="20"/>
              </w:rPr>
              <w:t>関係</w:t>
            </w:r>
            <w:r w:rsidR="00034349">
              <w:rPr>
                <w:rFonts w:hint="eastAsia"/>
                <w:sz w:val="20"/>
                <w:szCs w:val="20"/>
              </w:rPr>
              <w:t>事業者においても、</w:t>
            </w:r>
            <w:r w:rsidR="00034349" w:rsidRPr="00034349">
              <w:rPr>
                <w:rFonts w:hint="eastAsia"/>
                <w:sz w:val="20"/>
                <w:szCs w:val="20"/>
              </w:rPr>
              <w:t>その事業活動を行うに当たって、ギャンブル等依存症の予防等に配慮するよう努めなければならない</w:t>
            </w:r>
            <w:r w:rsidR="00034349">
              <w:rPr>
                <w:rFonts w:hint="eastAsia"/>
                <w:sz w:val="20"/>
                <w:szCs w:val="20"/>
              </w:rPr>
              <w:t>とされています</w:t>
            </w:r>
            <w:r w:rsidR="00034349" w:rsidRPr="00034349">
              <w:rPr>
                <w:rFonts w:hint="eastAsia"/>
                <w:sz w:val="20"/>
                <w:szCs w:val="20"/>
              </w:rPr>
              <w:t>。</w:t>
            </w:r>
          </w:p>
        </w:tc>
      </w:tr>
      <w:tr w:rsidR="0034417C" w14:paraId="00526297" w14:textId="77777777" w:rsidTr="0034417C">
        <w:trPr>
          <w:trHeight w:val="849"/>
        </w:trPr>
        <w:tc>
          <w:tcPr>
            <w:tcW w:w="704" w:type="dxa"/>
          </w:tcPr>
          <w:p w14:paraId="194971A5" w14:textId="715349A2" w:rsidR="0034417C" w:rsidRDefault="00367060" w:rsidP="000411BF">
            <w:pPr>
              <w:jc w:val="center"/>
              <w:rPr>
                <w:sz w:val="20"/>
                <w:szCs w:val="20"/>
              </w:rPr>
            </w:pPr>
            <w:r>
              <w:rPr>
                <w:rFonts w:hint="eastAsia"/>
                <w:sz w:val="20"/>
                <w:szCs w:val="20"/>
              </w:rPr>
              <w:t>３</w:t>
            </w:r>
          </w:p>
          <w:p w14:paraId="2A68C15B" w14:textId="5986892D" w:rsidR="00012D51" w:rsidRPr="0097787D" w:rsidRDefault="00012D51" w:rsidP="000411BF">
            <w:pPr>
              <w:jc w:val="center"/>
              <w:rPr>
                <w:sz w:val="20"/>
                <w:szCs w:val="20"/>
              </w:rPr>
            </w:pPr>
          </w:p>
        </w:tc>
        <w:tc>
          <w:tcPr>
            <w:tcW w:w="5528" w:type="dxa"/>
          </w:tcPr>
          <w:p w14:paraId="0FCE7E67" w14:textId="7A47ED0A" w:rsidR="00597074" w:rsidRDefault="00776D18" w:rsidP="008A375B">
            <w:pPr>
              <w:ind w:firstLineChars="100" w:firstLine="200"/>
              <w:rPr>
                <w:sz w:val="20"/>
                <w:szCs w:val="20"/>
              </w:rPr>
            </w:pPr>
            <w:r w:rsidRPr="00776D18">
              <w:rPr>
                <w:rFonts w:hint="eastAsia"/>
                <w:sz w:val="20"/>
                <w:szCs w:val="20"/>
              </w:rPr>
              <w:t>万博では夢洲の土地の問題で工事が難航し、未払い問題が発生。なにわ筋線の工事では、地中障害物で工事費が増加したが、夢洲はその危険性が高いが土地改良費の増加のおそれはないのか？</w:t>
            </w:r>
          </w:p>
        </w:tc>
        <w:tc>
          <w:tcPr>
            <w:tcW w:w="9214" w:type="dxa"/>
          </w:tcPr>
          <w:p w14:paraId="7040868B" w14:textId="6A507C6F" w:rsidR="004548F2" w:rsidRDefault="004548F2" w:rsidP="004548F2">
            <w:pPr>
              <w:ind w:firstLineChars="100" w:firstLine="200"/>
              <w:rPr>
                <w:sz w:val="20"/>
                <w:szCs w:val="20"/>
              </w:rPr>
            </w:pPr>
            <w:r>
              <w:rPr>
                <w:rFonts w:hint="eastAsia"/>
                <w:sz w:val="20"/>
                <w:szCs w:val="20"/>
              </w:rPr>
              <w:t>ＩＲ事業用地</w:t>
            </w:r>
            <w:r w:rsidRPr="0046728D">
              <w:rPr>
                <w:rFonts w:hint="eastAsia"/>
                <w:sz w:val="20"/>
                <w:szCs w:val="20"/>
              </w:rPr>
              <w:t>における土地課題</w:t>
            </w:r>
            <w:r>
              <w:rPr>
                <w:rFonts w:hint="eastAsia"/>
                <w:sz w:val="20"/>
                <w:szCs w:val="20"/>
              </w:rPr>
              <w:t>対策（液状化対策、地中障害物撤去、土壌汚染対策）</w:t>
            </w:r>
            <w:r w:rsidRPr="0046728D">
              <w:rPr>
                <w:rFonts w:hint="eastAsia"/>
                <w:sz w:val="20"/>
                <w:szCs w:val="20"/>
              </w:rPr>
              <w:t>については、大阪</w:t>
            </w:r>
            <w:r>
              <w:rPr>
                <w:rFonts w:hint="eastAsia"/>
                <w:sz w:val="20"/>
                <w:szCs w:val="20"/>
              </w:rPr>
              <w:t>ＩＲ</w:t>
            </w:r>
            <w:r w:rsidRPr="0046728D">
              <w:rPr>
                <w:rFonts w:hint="eastAsia"/>
                <w:sz w:val="20"/>
                <w:szCs w:val="20"/>
              </w:rPr>
              <w:t>が国際観光拠点の核となる大規模集客施設であることから、</w:t>
            </w:r>
            <w:r>
              <w:rPr>
                <w:rFonts w:hint="eastAsia"/>
                <w:sz w:val="20"/>
                <w:szCs w:val="20"/>
              </w:rPr>
              <w:t>ＩＲ</w:t>
            </w:r>
            <w:r w:rsidRPr="0046728D">
              <w:rPr>
                <w:rFonts w:hint="eastAsia"/>
                <w:sz w:val="20"/>
                <w:szCs w:val="20"/>
              </w:rPr>
              <w:t>事業用地としての</w:t>
            </w:r>
            <w:r w:rsidR="008F0009">
              <w:rPr>
                <w:rFonts w:hint="eastAsia"/>
                <w:sz w:val="20"/>
                <w:szCs w:val="20"/>
              </w:rPr>
              <w:t>適性確保</w:t>
            </w:r>
            <w:r w:rsidRPr="0046728D">
              <w:rPr>
                <w:rFonts w:hint="eastAsia"/>
                <w:sz w:val="20"/>
                <w:szCs w:val="20"/>
              </w:rPr>
              <w:t>が必須であり、土地に起因する所有者としての責任に加えて、大阪臨海部のまちづくりなどの政策的な観点も踏まえ、土地所有者として大阪市が負担する</w:t>
            </w:r>
            <w:r>
              <w:rPr>
                <w:rFonts w:hint="eastAsia"/>
                <w:sz w:val="20"/>
                <w:szCs w:val="20"/>
              </w:rPr>
              <w:t>こととして</w:t>
            </w:r>
            <w:r w:rsidR="000E54DD">
              <w:rPr>
                <w:rFonts w:hint="eastAsia"/>
                <w:sz w:val="20"/>
                <w:szCs w:val="20"/>
              </w:rPr>
              <w:t>おり、この費用については、債務負担行為として予算に定めた限度額の範囲内に限定される旨を、事業用定期借地権契約書等において規定しています</w:t>
            </w:r>
            <w:r w:rsidR="00102067">
              <w:rPr>
                <w:rFonts w:hint="eastAsia"/>
                <w:sz w:val="20"/>
                <w:szCs w:val="20"/>
              </w:rPr>
              <w:t>。</w:t>
            </w:r>
          </w:p>
          <w:p w14:paraId="3B448191" w14:textId="7092B370" w:rsidR="004548F2" w:rsidRDefault="004548F2" w:rsidP="004548F2">
            <w:pPr>
              <w:ind w:firstLineChars="100" w:firstLine="200"/>
              <w:rPr>
                <w:sz w:val="20"/>
                <w:szCs w:val="20"/>
              </w:rPr>
            </w:pPr>
            <w:r>
              <w:rPr>
                <w:rFonts w:hint="eastAsia"/>
                <w:sz w:val="20"/>
                <w:szCs w:val="20"/>
              </w:rPr>
              <w:t>このうち地中障害物（</w:t>
            </w:r>
            <w:r w:rsidRPr="00A558FB">
              <w:rPr>
                <w:rFonts w:hint="eastAsia"/>
                <w:sz w:val="20"/>
                <w:szCs w:val="20"/>
              </w:rPr>
              <w:t>揚水井戸、観測台等</w:t>
            </w:r>
            <w:r>
              <w:rPr>
                <w:rFonts w:hint="eastAsia"/>
                <w:sz w:val="20"/>
                <w:szCs w:val="20"/>
              </w:rPr>
              <w:t>）撤去については、既に工事が完了しており、撤去箇所数の減等により、当初想定費用の約22億円から約10億円に減額となっています。</w:t>
            </w:r>
          </w:p>
          <w:p w14:paraId="7FD3EDB0" w14:textId="46FAC15B" w:rsidR="00C3386C" w:rsidRPr="00216053" w:rsidRDefault="004548F2" w:rsidP="004548F2">
            <w:pPr>
              <w:ind w:firstLineChars="100" w:firstLine="200"/>
              <w:rPr>
                <w:sz w:val="20"/>
                <w:szCs w:val="20"/>
              </w:rPr>
            </w:pPr>
            <w:r>
              <w:rPr>
                <w:rFonts w:hint="eastAsia"/>
                <w:sz w:val="20"/>
                <w:szCs w:val="20"/>
              </w:rPr>
              <w:t>また、</w:t>
            </w:r>
            <w:r w:rsidR="000E54DD">
              <w:rPr>
                <w:rFonts w:hint="eastAsia"/>
                <w:sz w:val="20"/>
                <w:szCs w:val="20"/>
              </w:rPr>
              <w:t>上記の地中障害物とは別に、</w:t>
            </w:r>
            <w:r>
              <w:rPr>
                <w:rFonts w:hint="eastAsia"/>
                <w:sz w:val="20"/>
                <w:szCs w:val="20"/>
              </w:rPr>
              <w:t>通常想定し得ない地中埋設物の存在が判明し、本件土地の外見</w:t>
            </w:r>
            <w:r>
              <w:rPr>
                <w:rFonts w:hint="eastAsia"/>
                <w:sz w:val="20"/>
                <w:szCs w:val="20"/>
              </w:rPr>
              <w:lastRenderedPageBreak/>
              <w:t>から通常予測され得る地盤の整備・改良の程度を超える除去工事等が必要と見込まれる場合、一定の条件の下で大阪市がその費用を負担することとしています。</w:t>
            </w:r>
          </w:p>
        </w:tc>
      </w:tr>
      <w:tr w:rsidR="00775842" w14:paraId="2C718C57" w14:textId="77777777" w:rsidTr="00897392">
        <w:trPr>
          <w:trHeight w:val="2339"/>
        </w:trPr>
        <w:tc>
          <w:tcPr>
            <w:tcW w:w="704" w:type="dxa"/>
          </w:tcPr>
          <w:p w14:paraId="6854EC3D" w14:textId="2847C8C5" w:rsidR="00775842" w:rsidRDefault="00367060" w:rsidP="00775842">
            <w:pPr>
              <w:jc w:val="center"/>
              <w:rPr>
                <w:sz w:val="20"/>
                <w:szCs w:val="20"/>
              </w:rPr>
            </w:pPr>
            <w:r>
              <w:rPr>
                <w:rFonts w:hint="eastAsia"/>
                <w:sz w:val="20"/>
                <w:szCs w:val="20"/>
              </w:rPr>
              <w:lastRenderedPageBreak/>
              <w:t>４</w:t>
            </w:r>
          </w:p>
        </w:tc>
        <w:tc>
          <w:tcPr>
            <w:tcW w:w="5528" w:type="dxa"/>
          </w:tcPr>
          <w:p w14:paraId="1CF7CD8F" w14:textId="7388BC8A" w:rsidR="00775842" w:rsidRPr="00162646" w:rsidRDefault="00775842" w:rsidP="00775842">
            <w:pPr>
              <w:rPr>
                <w:sz w:val="20"/>
                <w:szCs w:val="20"/>
              </w:rPr>
            </w:pPr>
            <w:r>
              <w:rPr>
                <w:rFonts w:hint="eastAsia"/>
                <w:sz w:val="20"/>
                <w:szCs w:val="20"/>
              </w:rPr>
              <w:t xml:space="preserve">　</w:t>
            </w:r>
            <w:r w:rsidRPr="00776D18">
              <w:rPr>
                <w:rFonts w:hint="eastAsia"/>
                <w:sz w:val="20"/>
                <w:szCs w:val="20"/>
              </w:rPr>
              <w:t>１兆円のリスクは大阪府・市民がおわされるのであって事業者ではない。日経（オンライン）</w:t>
            </w:r>
            <w:r w:rsidRPr="00776D18">
              <w:rPr>
                <w:sz w:val="20"/>
                <w:szCs w:val="20"/>
              </w:rPr>
              <w:t>2026/06/03付夕刊で米ラスベガスを代表するカジノホテル企業・シーザーズエンタメとＭＧＭリゾーツが身売りを決めたと報じている。（オンラインと米国への観光客ばなれ。）親会社の事業があやうくなっており、このまま事業につっこんで大丈夫なのか。株主、資本関係に不安はないのか？</w:t>
            </w:r>
          </w:p>
        </w:tc>
        <w:tc>
          <w:tcPr>
            <w:tcW w:w="9214" w:type="dxa"/>
          </w:tcPr>
          <w:p w14:paraId="6995A1EA" w14:textId="1F42E87A" w:rsidR="00775842" w:rsidRPr="00562C50" w:rsidRDefault="00775842">
            <w:pPr>
              <w:ind w:firstLineChars="100" w:firstLine="200"/>
              <w:rPr>
                <w:sz w:val="20"/>
                <w:szCs w:val="20"/>
              </w:rPr>
            </w:pPr>
            <w:r w:rsidRPr="00453810">
              <w:rPr>
                <w:rFonts w:hint="eastAsia"/>
                <w:sz w:val="20"/>
                <w:szCs w:val="20"/>
              </w:rPr>
              <w:t>ＩＲは、事業者が自ら施設を設置し、運営するという民設民営事業として、</w:t>
            </w:r>
            <w:r>
              <w:rPr>
                <w:rFonts w:hint="eastAsia"/>
                <w:sz w:val="20"/>
                <w:szCs w:val="20"/>
              </w:rPr>
              <w:t>合同会社日本</w:t>
            </w:r>
            <w:r w:rsidRPr="00453810">
              <w:rPr>
                <w:rFonts w:hint="eastAsia"/>
                <w:sz w:val="20"/>
                <w:szCs w:val="20"/>
              </w:rPr>
              <w:t>ＭＧＭ</w:t>
            </w:r>
            <w:r>
              <w:rPr>
                <w:rFonts w:hint="eastAsia"/>
                <w:sz w:val="20"/>
                <w:szCs w:val="20"/>
              </w:rPr>
              <w:t>リゾーツ及び</w:t>
            </w:r>
            <w:r w:rsidRPr="00453810">
              <w:rPr>
                <w:rFonts w:hint="eastAsia"/>
                <w:sz w:val="20"/>
                <w:szCs w:val="20"/>
              </w:rPr>
              <w:t>オリックス</w:t>
            </w:r>
            <w:r>
              <w:rPr>
                <w:rFonts w:hint="eastAsia"/>
                <w:sz w:val="20"/>
                <w:szCs w:val="20"/>
              </w:rPr>
              <w:t>株式会社</w:t>
            </w:r>
            <w:r w:rsidRPr="00453810">
              <w:rPr>
                <w:rFonts w:hint="eastAsia"/>
                <w:sz w:val="20"/>
                <w:szCs w:val="20"/>
              </w:rPr>
              <w:t>の中核企業２社に加えて、大阪・関西を中心とした企業</w:t>
            </w:r>
            <w:r w:rsidRPr="00453810">
              <w:rPr>
                <w:sz w:val="20"/>
                <w:szCs w:val="20"/>
              </w:rPr>
              <w:t>22社が自らの出資や金融機関からの借入れにより資金調達を行い、１兆円を超える投資を行うも</w:t>
            </w:r>
            <w:r>
              <w:rPr>
                <w:rFonts w:hint="eastAsia"/>
                <w:sz w:val="20"/>
                <w:szCs w:val="20"/>
              </w:rPr>
              <w:t>のであり、</w:t>
            </w:r>
            <w:r w:rsidRPr="00453810">
              <w:rPr>
                <w:rFonts w:hint="eastAsia"/>
                <w:sz w:val="20"/>
                <w:szCs w:val="20"/>
              </w:rPr>
              <w:t>本事業に係るリスクについては、</w:t>
            </w:r>
            <w:r>
              <w:rPr>
                <w:rFonts w:hint="eastAsia"/>
                <w:sz w:val="20"/>
                <w:szCs w:val="20"/>
              </w:rPr>
              <w:t>不可抗力などの場合を除き、</w:t>
            </w:r>
            <w:r w:rsidRPr="00453810">
              <w:rPr>
                <w:rFonts w:hint="eastAsia"/>
                <w:sz w:val="20"/>
                <w:szCs w:val="20"/>
              </w:rPr>
              <w:t>需要変動リスクを含め事業者が負</w:t>
            </w:r>
            <w:r>
              <w:rPr>
                <w:rFonts w:hint="eastAsia"/>
                <w:sz w:val="20"/>
                <w:szCs w:val="20"/>
              </w:rPr>
              <w:t>っています。</w:t>
            </w:r>
          </w:p>
        </w:tc>
      </w:tr>
    </w:tbl>
    <w:p w14:paraId="3289DFD6" w14:textId="071A815E" w:rsidR="00961D85" w:rsidRDefault="00961D85"/>
    <w:sectPr w:rsidR="00961D85" w:rsidSect="003E0AED">
      <w:headerReference w:type="default" r:id="rId8"/>
      <w:footerReference w:type="default" r:id="rId9"/>
      <w:pgSz w:w="16838" w:h="11906" w:orient="landscape" w:code="9"/>
      <w:pgMar w:top="720" w:right="720" w:bottom="720" w:left="720"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8AEF" w14:textId="77777777" w:rsidR="00743AFE" w:rsidRDefault="00743AFE" w:rsidP="00E354EB">
      <w:r>
        <w:separator/>
      </w:r>
    </w:p>
  </w:endnote>
  <w:endnote w:type="continuationSeparator" w:id="0">
    <w:p w14:paraId="1075B61F" w14:textId="77777777" w:rsidR="00743AFE" w:rsidRDefault="00743AFE" w:rsidP="00E3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472591"/>
      <w:docPartObj>
        <w:docPartGallery w:val="Page Numbers (Bottom of Page)"/>
        <w:docPartUnique/>
      </w:docPartObj>
    </w:sdtPr>
    <w:sdtEndPr/>
    <w:sdtContent>
      <w:p w14:paraId="7019BD86" w14:textId="629F4A40" w:rsidR="008D5C86" w:rsidRDefault="008D5C86">
        <w:pPr>
          <w:pStyle w:val="a7"/>
          <w:jc w:val="center"/>
        </w:pPr>
        <w:r>
          <w:fldChar w:fldCharType="begin"/>
        </w:r>
        <w:r>
          <w:instrText>PAGE   \* MERGEFORMAT</w:instrText>
        </w:r>
        <w:r>
          <w:fldChar w:fldCharType="separate"/>
        </w:r>
        <w:r>
          <w:rPr>
            <w:lang w:val="ja-JP"/>
          </w:rPr>
          <w:t>2</w:t>
        </w:r>
        <w:r>
          <w:fldChar w:fldCharType="end"/>
        </w:r>
      </w:p>
    </w:sdtContent>
  </w:sdt>
  <w:p w14:paraId="063272A5" w14:textId="77777777" w:rsidR="008D5C86" w:rsidRDefault="008D5C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03EB0" w14:textId="77777777" w:rsidR="00743AFE" w:rsidRDefault="00743AFE" w:rsidP="00E354EB">
      <w:r>
        <w:separator/>
      </w:r>
    </w:p>
  </w:footnote>
  <w:footnote w:type="continuationSeparator" w:id="0">
    <w:p w14:paraId="7F562302" w14:textId="77777777" w:rsidR="00743AFE" w:rsidRDefault="00743AFE" w:rsidP="00E35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56AC" w14:textId="666F6A9F" w:rsidR="00286797" w:rsidRPr="00004E5B" w:rsidRDefault="00286797" w:rsidP="00004E5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02E14"/>
    <w:multiLevelType w:val="hybridMultilevel"/>
    <w:tmpl w:val="C85ADD68"/>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4C11E0"/>
    <w:multiLevelType w:val="hybridMultilevel"/>
    <w:tmpl w:val="8A569AD0"/>
    <w:lvl w:ilvl="0" w:tplc="72E4076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EE1BC2"/>
    <w:multiLevelType w:val="hybridMultilevel"/>
    <w:tmpl w:val="29AC0CCE"/>
    <w:lvl w:ilvl="0" w:tplc="A4003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046415"/>
    <w:multiLevelType w:val="hybridMultilevel"/>
    <w:tmpl w:val="7DC8CDFC"/>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663704"/>
    <w:multiLevelType w:val="hybridMultilevel"/>
    <w:tmpl w:val="B8F07A60"/>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AD746B"/>
    <w:multiLevelType w:val="hybridMultilevel"/>
    <w:tmpl w:val="F056CA86"/>
    <w:lvl w:ilvl="0" w:tplc="72E40762">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3D392D"/>
    <w:multiLevelType w:val="hybridMultilevel"/>
    <w:tmpl w:val="C6E49D9C"/>
    <w:lvl w:ilvl="0" w:tplc="66C4D7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A17E3D"/>
    <w:multiLevelType w:val="hybridMultilevel"/>
    <w:tmpl w:val="62722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4"/>
  </w:num>
  <w:num w:numId="4">
    <w:abstractNumId w:val="6"/>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33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85"/>
    <w:rsid w:val="00004E5B"/>
    <w:rsid w:val="00006CF1"/>
    <w:rsid w:val="00010B6A"/>
    <w:rsid w:val="00012D51"/>
    <w:rsid w:val="0002236A"/>
    <w:rsid w:val="00034349"/>
    <w:rsid w:val="000411BF"/>
    <w:rsid w:val="000B563A"/>
    <w:rsid w:val="000D063E"/>
    <w:rsid w:val="000E164E"/>
    <w:rsid w:val="000E54DD"/>
    <w:rsid w:val="00102067"/>
    <w:rsid w:val="00104B03"/>
    <w:rsid w:val="00106C95"/>
    <w:rsid w:val="00111E70"/>
    <w:rsid w:val="001552B1"/>
    <w:rsid w:val="00162646"/>
    <w:rsid w:val="00167746"/>
    <w:rsid w:val="00196DDB"/>
    <w:rsid w:val="001A19C8"/>
    <w:rsid w:val="001C18C0"/>
    <w:rsid w:val="001C5C5B"/>
    <w:rsid w:val="001C77D9"/>
    <w:rsid w:val="001D5D5E"/>
    <w:rsid w:val="00210E71"/>
    <w:rsid w:val="0021127D"/>
    <w:rsid w:val="00216053"/>
    <w:rsid w:val="00216555"/>
    <w:rsid w:val="00220B05"/>
    <w:rsid w:val="0023265F"/>
    <w:rsid w:val="00233711"/>
    <w:rsid w:val="0023461A"/>
    <w:rsid w:val="00240AD7"/>
    <w:rsid w:val="00252372"/>
    <w:rsid w:val="00266138"/>
    <w:rsid w:val="002818A5"/>
    <w:rsid w:val="00286797"/>
    <w:rsid w:val="00291501"/>
    <w:rsid w:val="00296A9C"/>
    <w:rsid w:val="002A455F"/>
    <w:rsid w:val="002C43AA"/>
    <w:rsid w:val="002D5EAD"/>
    <w:rsid w:val="002E79BD"/>
    <w:rsid w:val="002F3631"/>
    <w:rsid w:val="002F5564"/>
    <w:rsid w:val="00301B90"/>
    <w:rsid w:val="0031005A"/>
    <w:rsid w:val="00317ABF"/>
    <w:rsid w:val="00324CB3"/>
    <w:rsid w:val="00334CE0"/>
    <w:rsid w:val="00337E11"/>
    <w:rsid w:val="0034417C"/>
    <w:rsid w:val="00350135"/>
    <w:rsid w:val="00353BB7"/>
    <w:rsid w:val="0036226B"/>
    <w:rsid w:val="00367060"/>
    <w:rsid w:val="00377E42"/>
    <w:rsid w:val="00385405"/>
    <w:rsid w:val="003855BF"/>
    <w:rsid w:val="003861FA"/>
    <w:rsid w:val="0039105B"/>
    <w:rsid w:val="00391D6F"/>
    <w:rsid w:val="00393317"/>
    <w:rsid w:val="003A4A69"/>
    <w:rsid w:val="003A6765"/>
    <w:rsid w:val="003B0DCE"/>
    <w:rsid w:val="003B3AA9"/>
    <w:rsid w:val="003B7E9B"/>
    <w:rsid w:val="003E0AED"/>
    <w:rsid w:val="003F4189"/>
    <w:rsid w:val="00430544"/>
    <w:rsid w:val="00446382"/>
    <w:rsid w:val="00452F14"/>
    <w:rsid w:val="004548F2"/>
    <w:rsid w:val="004646D0"/>
    <w:rsid w:val="0049415E"/>
    <w:rsid w:val="004A78E3"/>
    <w:rsid w:val="004C0344"/>
    <w:rsid w:val="004D5D1B"/>
    <w:rsid w:val="00517552"/>
    <w:rsid w:val="0052237B"/>
    <w:rsid w:val="005309A4"/>
    <w:rsid w:val="00534316"/>
    <w:rsid w:val="00537A3F"/>
    <w:rsid w:val="005564BB"/>
    <w:rsid w:val="00562C50"/>
    <w:rsid w:val="00562C68"/>
    <w:rsid w:val="00571604"/>
    <w:rsid w:val="00576B74"/>
    <w:rsid w:val="005879B8"/>
    <w:rsid w:val="0059397C"/>
    <w:rsid w:val="00596C32"/>
    <w:rsid w:val="00597074"/>
    <w:rsid w:val="005C22B8"/>
    <w:rsid w:val="005C24BC"/>
    <w:rsid w:val="005E288B"/>
    <w:rsid w:val="005F0925"/>
    <w:rsid w:val="00606E3B"/>
    <w:rsid w:val="00614D42"/>
    <w:rsid w:val="00625C1B"/>
    <w:rsid w:val="006432DC"/>
    <w:rsid w:val="0064385A"/>
    <w:rsid w:val="0065291C"/>
    <w:rsid w:val="0065346E"/>
    <w:rsid w:val="00654E6C"/>
    <w:rsid w:val="00663A02"/>
    <w:rsid w:val="00663D24"/>
    <w:rsid w:val="006D61B7"/>
    <w:rsid w:val="006E12AF"/>
    <w:rsid w:val="006F34A4"/>
    <w:rsid w:val="00707389"/>
    <w:rsid w:val="00713A2E"/>
    <w:rsid w:val="00726170"/>
    <w:rsid w:val="00733983"/>
    <w:rsid w:val="0073610C"/>
    <w:rsid w:val="00743AFE"/>
    <w:rsid w:val="00747CA1"/>
    <w:rsid w:val="00756E94"/>
    <w:rsid w:val="00773876"/>
    <w:rsid w:val="00775842"/>
    <w:rsid w:val="00776D18"/>
    <w:rsid w:val="007865DC"/>
    <w:rsid w:val="0079452F"/>
    <w:rsid w:val="007A10C7"/>
    <w:rsid w:val="007B3682"/>
    <w:rsid w:val="007C425B"/>
    <w:rsid w:val="007D2F44"/>
    <w:rsid w:val="007E1CC9"/>
    <w:rsid w:val="007E2724"/>
    <w:rsid w:val="00822B17"/>
    <w:rsid w:val="0083309A"/>
    <w:rsid w:val="0083551C"/>
    <w:rsid w:val="008572B9"/>
    <w:rsid w:val="00864A21"/>
    <w:rsid w:val="008733BB"/>
    <w:rsid w:val="00873BDB"/>
    <w:rsid w:val="00897392"/>
    <w:rsid w:val="008A375B"/>
    <w:rsid w:val="008C0184"/>
    <w:rsid w:val="008C2050"/>
    <w:rsid w:val="008D2D05"/>
    <w:rsid w:val="008D34F0"/>
    <w:rsid w:val="008D4858"/>
    <w:rsid w:val="008D5C86"/>
    <w:rsid w:val="008E0859"/>
    <w:rsid w:val="008F0009"/>
    <w:rsid w:val="00901FEA"/>
    <w:rsid w:val="00905E6A"/>
    <w:rsid w:val="00907949"/>
    <w:rsid w:val="00921CB3"/>
    <w:rsid w:val="00923AF6"/>
    <w:rsid w:val="00923E59"/>
    <w:rsid w:val="009309DE"/>
    <w:rsid w:val="00936046"/>
    <w:rsid w:val="00936CB8"/>
    <w:rsid w:val="00937DCA"/>
    <w:rsid w:val="009526E0"/>
    <w:rsid w:val="00961D85"/>
    <w:rsid w:val="00967A1F"/>
    <w:rsid w:val="0097787D"/>
    <w:rsid w:val="0099399C"/>
    <w:rsid w:val="009B2F64"/>
    <w:rsid w:val="009D04EE"/>
    <w:rsid w:val="009D3088"/>
    <w:rsid w:val="00A00596"/>
    <w:rsid w:val="00A05396"/>
    <w:rsid w:val="00A17953"/>
    <w:rsid w:val="00A2058A"/>
    <w:rsid w:val="00A42A69"/>
    <w:rsid w:val="00A505CD"/>
    <w:rsid w:val="00A5503E"/>
    <w:rsid w:val="00A64B8E"/>
    <w:rsid w:val="00A70A85"/>
    <w:rsid w:val="00A75F63"/>
    <w:rsid w:val="00A80A4A"/>
    <w:rsid w:val="00A827AA"/>
    <w:rsid w:val="00A83BE7"/>
    <w:rsid w:val="00AA2514"/>
    <w:rsid w:val="00AA702F"/>
    <w:rsid w:val="00AC3563"/>
    <w:rsid w:val="00AC4EA7"/>
    <w:rsid w:val="00AE38AC"/>
    <w:rsid w:val="00AE49BF"/>
    <w:rsid w:val="00B069E8"/>
    <w:rsid w:val="00B14ABC"/>
    <w:rsid w:val="00B17A8E"/>
    <w:rsid w:val="00B33A45"/>
    <w:rsid w:val="00B71342"/>
    <w:rsid w:val="00B961C8"/>
    <w:rsid w:val="00BB0A48"/>
    <w:rsid w:val="00BB2BCC"/>
    <w:rsid w:val="00BB7D36"/>
    <w:rsid w:val="00BD4C6A"/>
    <w:rsid w:val="00BD63EA"/>
    <w:rsid w:val="00BE3320"/>
    <w:rsid w:val="00BE379D"/>
    <w:rsid w:val="00C122B5"/>
    <w:rsid w:val="00C3386C"/>
    <w:rsid w:val="00C45DDF"/>
    <w:rsid w:val="00C623B0"/>
    <w:rsid w:val="00C66713"/>
    <w:rsid w:val="00C76D31"/>
    <w:rsid w:val="00C83A06"/>
    <w:rsid w:val="00C84649"/>
    <w:rsid w:val="00C8688A"/>
    <w:rsid w:val="00C95C84"/>
    <w:rsid w:val="00CA44E2"/>
    <w:rsid w:val="00CB40DF"/>
    <w:rsid w:val="00CC0D0E"/>
    <w:rsid w:val="00CC2D90"/>
    <w:rsid w:val="00CC7114"/>
    <w:rsid w:val="00CD1F95"/>
    <w:rsid w:val="00CD2D36"/>
    <w:rsid w:val="00CF1764"/>
    <w:rsid w:val="00CF3518"/>
    <w:rsid w:val="00CF51A1"/>
    <w:rsid w:val="00CF5D1B"/>
    <w:rsid w:val="00CF7E4A"/>
    <w:rsid w:val="00D04FEE"/>
    <w:rsid w:val="00D17D96"/>
    <w:rsid w:val="00D24697"/>
    <w:rsid w:val="00D3422C"/>
    <w:rsid w:val="00D6120D"/>
    <w:rsid w:val="00D64BF1"/>
    <w:rsid w:val="00D7289F"/>
    <w:rsid w:val="00D76230"/>
    <w:rsid w:val="00D77E4B"/>
    <w:rsid w:val="00DA5BE8"/>
    <w:rsid w:val="00DA6BF3"/>
    <w:rsid w:val="00DF121A"/>
    <w:rsid w:val="00DF2341"/>
    <w:rsid w:val="00E04E68"/>
    <w:rsid w:val="00E04E6F"/>
    <w:rsid w:val="00E0661C"/>
    <w:rsid w:val="00E24805"/>
    <w:rsid w:val="00E3499A"/>
    <w:rsid w:val="00E354EB"/>
    <w:rsid w:val="00E41B40"/>
    <w:rsid w:val="00E43C32"/>
    <w:rsid w:val="00E70031"/>
    <w:rsid w:val="00E915AA"/>
    <w:rsid w:val="00E91CBC"/>
    <w:rsid w:val="00EB149F"/>
    <w:rsid w:val="00ED3E5F"/>
    <w:rsid w:val="00ED52CF"/>
    <w:rsid w:val="00EE11A9"/>
    <w:rsid w:val="00EE1AA3"/>
    <w:rsid w:val="00EE4CD7"/>
    <w:rsid w:val="00EE5983"/>
    <w:rsid w:val="00EF4FC6"/>
    <w:rsid w:val="00EF6EDC"/>
    <w:rsid w:val="00F060CE"/>
    <w:rsid w:val="00F14F3C"/>
    <w:rsid w:val="00F1542E"/>
    <w:rsid w:val="00F23F8E"/>
    <w:rsid w:val="00F25D7C"/>
    <w:rsid w:val="00F37D19"/>
    <w:rsid w:val="00F64E9A"/>
    <w:rsid w:val="00F67919"/>
    <w:rsid w:val="00F81434"/>
    <w:rsid w:val="00F928D0"/>
    <w:rsid w:val="00F92CE2"/>
    <w:rsid w:val="00F94A0D"/>
    <w:rsid w:val="00FD1AB1"/>
    <w:rsid w:val="00FD2F70"/>
    <w:rsid w:val="00FE2232"/>
    <w:rsid w:val="00FF1064"/>
    <w:rsid w:val="00FF5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CBE2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7DCA"/>
    <w:rPr>
      <w:color w:val="0563C1" w:themeColor="hyperlink"/>
      <w:u w:val="single"/>
    </w:rPr>
  </w:style>
  <w:style w:type="paragraph" w:styleId="a5">
    <w:name w:val="header"/>
    <w:basedOn w:val="a"/>
    <w:link w:val="a6"/>
    <w:uiPriority w:val="99"/>
    <w:unhideWhenUsed/>
    <w:rsid w:val="00E354EB"/>
    <w:pPr>
      <w:tabs>
        <w:tab w:val="center" w:pos="4252"/>
        <w:tab w:val="right" w:pos="8504"/>
      </w:tabs>
      <w:snapToGrid w:val="0"/>
    </w:pPr>
  </w:style>
  <w:style w:type="character" w:customStyle="1" w:styleId="a6">
    <w:name w:val="ヘッダー (文字)"/>
    <w:basedOn w:val="a0"/>
    <w:link w:val="a5"/>
    <w:uiPriority w:val="99"/>
    <w:rsid w:val="00E354EB"/>
  </w:style>
  <w:style w:type="paragraph" w:styleId="a7">
    <w:name w:val="footer"/>
    <w:basedOn w:val="a"/>
    <w:link w:val="a8"/>
    <w:uiPriority w:val="99"/>
    <w:unhideWhenUsed/>
    <w:rsid w:val="00E354EB"/>
    <w:pPr>
      <w:tabs>
        <w:tab w:val="center" w:pos="4252"/>
        <w:tab w:val="right" w:pos="8504"/>
      </w:tabs>
      <w:snapToGrid w:val="0"/>
    </w:pPr>
  </w:style>
  <w:style w:type="character" w:customStyle="1" w:styleId="a8">
    <w:name w:val="フッター (文字)"/>
    <w:basedOn w:val="a0"/>
    <w:link w:val="a7"/>
    <w:uiPriority w:val="99"/>
    <w:rsid w:val="00E354EB"/>
  </w:style>
  <w:style w:type="paragraph" w:styleId="a9">
    <w:name w:val="List Paragraph"/>
    <w:basedOn w:val="a"/>
    <w:uiPriority w:val="34"/>
    <w:qFormat/>
    <w:rsid w:val="00FF5F39"/>
    <w:pPr>
      <w:ind w:leftChars="400" w:left="840"/>
    </w:pPr>
  </w:style>
  <w:style w:type="character" w:styleId="aa">
    <w:name w:val="Unresolved Mention"/>
    <w:basedOn w:val="a0"/>
    <w:uiPriority w:val="99"/>
    <w:semiHidden/>
    <w:unhideWhenUsed/>
    <w:rsid w:val="000D063E"/>
    <w:rPr>
      <w:color w:val="605E5C"/>
      <w:shd w:val="clear" w:color="auto" w:fill="E1DFDD"/>
    </w:rPr>
  </w:style>
  <w:style w:type="character" w:styleId="ab">
    <w:name w:val="FollowedHyperlink"/>
    <w:basedOn w:val="a0"/>
    <w:uiPriority w:val="99"/>
    <w:semiHidden/>
    <w:unhideWhenUsed/>
    <w:rsid w:val="000D063E"/>
    <w:rPr>
      <w:color w:val="954F72" w:themeColor="followedHyperlink"/>
      <w:u w:val="single"/>
    </w:rPr>
  </w:style>
  <w:style w:type="character" w:styleId="ac">
    <w:name w:val="annotation reference"/>
    <w:basedOn w:val="a0"/>
    <w:uiPriority w:val="99"/>
    <w:semiHidden/>
    <w:unhideWhenUsed/>
    <w:rsid w:val="00597074"/>
    <w:rPr>
      <w:sz w:val="18"/>
      <w:szCs w:val="18"/>
    </w:rPr>
  </w:style>
  <w:style w:type="paragraph" w:styleId="ad">
    <w:name w:val="annotation text"/>
    <w:basedOn w:val="a"/>
    <w:link w:val="ae"/>
    <w:uiPriority w:val="99"/>
    <w:semiHidden/>
    <w:unhideWhenUsed/>
    <w:rsid w:val="00597074"/>
    <w:pPr>
      <w:jc w:val="left"/>
    </w:pPr>
  </w:style>
  <w:style w:type="character" w:customStyle="1" w:styleId="ae">
    <w:name w:val="コメント文字列 (文字)"/>
    <w:basedOn w:val="a0"/>
    <w:link w:val="ad"/>
    <w:uiPriority w:val="99"/>
    <w:semiHidden/>
    <w:rsid w:val="00597074"/>
  </w:style>
  <w:style w:type="paragraph" w:styleId="af">
    <w:name w:val="annotation subject"/>
    <w:basedOn w:val="ad"/>
    <w:next w:val="ad"/>
    <w:link w:val="af0"/>
    <w:uiPriority w:val="99"/>
    <w:semiHidden/>
    <w:unhideWhenUsed/>
    <w:rsid w:val="007E2724"/>
    <w:rPr>
      <w:b/>
      <w:bCs/>
    </w:rPr>
  </w:style>
  <w:style w:type="character" w:customStyle="1" w:styleId="af0">
    <w:name w:val="コメント内容 (文字)"/>
    <w:basedOn w:val="ae"/>
    <w:link w:val="af"/>
    <w:uiPriority w:val="99"/>
    <w:semiHidden/>
    <w:rsid w:val="007E27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62137">
      <w:bodyDiv w:val="1"/>
      <w:marLeft w:val="0"/>
      <w:marRight w:val="0"/>
      <w:marTop w:val="0"/>
      <w:marBottom w:val="0"/>
      <w:divBdr>
        <w:top w:val="none" w:sz="0" w:space="0" w:color="auto"/>
        <w:left w:val="none" w:sz="0" w:space="0" w:color="auto"/>
        <w:bottom w:val="none" w:sz="0" w:space="0" w:color="auto"/>
        <w:right w:val="none" w:sz="0" w:space="0" w:color="auto"/>
      </w:divBdr>
    </w:div>
    <w:div w:id="91023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8EDC-9A66-40FA-BA39-E53FE969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2026-02-19T06:59:00Z</dcterms:created>
  <dcterms:modified xsi:type="dcterms:W3CDTF">2026-07-21T02:47:00Z</dcterms:modified>
</cp:coreProperties>
</file>