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632A5C5D" w:rsidR="00961D85" w:rsidRPr="00937DCA" w:rsidRDefault="00B961C8">
      <w:pPr>
        <w:rPr>
          <w:sz w:val="22"/>
        </w:rPr>
      </w:pPr>
      <w:r>
        <w:rPr>
          <w:rFonts w:hint="eastAsia"/>
          <w:sz w:val="22"/>
        </w:rPr>
        <w:t>令和</w:t>
      </w:r>
      <w:r w:rsidR="00CA44E2">
        <w:rPr>
          <w:rFonts w:hint="eastAsia"/>
          <w:sz w:val="22"/>
        </w:rPr>
        <w:t>７</w:t>
      </w:r>
      <w:r>
        <w:rPr>
          <w:rFonts w:hint="eastAsia"/>
          <w:sz w:val="22"/>
        </w:rPr>
        <w:t>年度「</w:t>
      </w:r>
      <w:r w:rsidR="00961D85" w:rsidRPr="00937DCA">
        <w:rPr>
          <w:sz w:val="22"/>
        </w:rPr>
        <w:t>大阪</w:t>
      </w:r>
      <w:r w:rsidR="0059397C">
        <w:rPr>
          <w:rFonts w:hint="eastAsia"/>
          <w:sz w:val="22"/>
        </w:rPr>
        <w:t>ＩＲ</w:t>
      </w:r>
      <w:r w:rsidR="00961D85" w:rsidRPr="00937DCA">
        <w:rPr>
          <w:sz w:val="22"/>
        </w:rPr>
        <w:t>（統合型リゾート）説明会</w:t>
      </w:r>
      <w:r>
        <w:rPr>
          <w:rFonts w:hint="eastAsia"/>
          <w:sz w:val="22"/>
        </w:rPr>
        <w:t>」（第</w:t>
      </w:r>
      <w:r w:rsidR="004778DF">
        <w:rPr>
          <w:rFonts w:hint="eastAsia"/>
          <w:sz w:val="22"/>
        </w:rPr>
        <w:t>４</w:t>
      </w:r>
      <w:r>
        <w:rPr>
          <w:rFonts w:hint="eastAsia"/>
          <w:sz w:val="22"/>
        </w:rPr>
        <w:t>回）</w:t>
      </w:r>
      <w:r w:rsidR="00961D85" w:rsidRPr="00937DCA">
        <w:rPr>
          <w:sz w:val="22"/>
        </w:rPr>
        <w:t xml:space="preserve">　アンケートによる質問について</w:t>
      </w:r>
    </w:p>
    <w:p w14:paraId="748AEC1A" w14:textId="7328F0BF" w:rsidR="00961D85" w:rsidRDefault="00961D85" w:rsidP="00961D85">
      <w:pPr>
        <w:ind w:firstLineChars="100" w:firstLine="210"/>
      </w:pPr>
      <w:r>
        <w:rPr>
          <w:rFonts w:hint="eastAsia"/>
        </w:rPr>
        <w:t>●</w:t>
      </w:r>
      <w:r w:rsidRPr="00452F14">
        <w:rPr>
          <w:rFonts w:hint="eastAsia"/>
        </w:rPr>
        <w:t xml:space="preserve">受付件数　</w:t>
      </w:r>
      <w:r w:rsidR="002A6D1A">
        <w:t>2</w:t>
      </w:r>
      <w:r w:rsidR="00F23665">
        <w:t>0</w:t>
      </w:r>
      <w:r w:rsidRPr="00452F14">
        <w:rPr>
          <w:rFonts w:hint="eastAsia"/>
        </w:rPr>
        <w:t>件</w:t>
      </w:r>
      <w:r w:rsidR="00F23665">
        <w:rPr>
          <w:rFonts w:hint="eastAsia"/>
        </w:rPr>
        <w:t xml:space="preserve">　　　　　　　　　　　　　　　　　　　　　　　　　　　　　　　　</w:t>
      </w:r>
      <w:r w:rsidR="00D41C29">
        <w:rPr>
          <w:rFonts w:hint="eastAsia"/>
        </w:rPr>
        <w:t xml:space="preserve">　　　　　　　　　　　　　　　</w:t>
      </w:r>
      <w:r w:rsidR="00F23665">
        <w:rPr>
          <w:rFonts w:hint="eastAsia"/>
        </w:rPr>
        <w:t xml:space="preserve">　　　</w:t>
      </w:r>
      <w:r w:rsidR="00C43469">
        <w:rPr>
          <w:rFonts w:hint="eastAsia"/>
        </w:rPr>
        <w:t xml:space="preserve">　　　　　　　　　　　　　　</w:t>
      </w:r>
    </w:p>
    <w:tbl>
      <w:tblPr>
        <w:tblStyle w:val="a3"/>
        <w:tblW w:w="15446" w:type="dxa"/>
        <w:tblLook w:val="04A0" w:firstRow="1" w:lastRow="0" w:firstColumn="1" w:lastColumn="0" w:noHBand="0" w:noVBand="1"/>
      </w:tblPr>
      <w:tblGrid>
        <w:gridCol w:w="704"/>
        <w:gridCol w:w="5528"/>
        <w:gridCol w:w="9214"/>
      </w:tblGrid>
      <w:tr w:rsidR="0034417C" w14:paraId="61F16231" w14:textId="77777777" w:rsidTr="0034417C">
        <w:trPr>
          <w:trHeight w:val="324"/>
        </w:trPr>
        <w:tc>
          <w:tcPr>
            <w:tcW w:w="704" w:type="dxa"/>
          </w:tcPr>
          <w:p w14:paraId="1090A34D" w14:textId="77777777" w:rsidR="0034417C" w:rsidRPr="00937DCA" w:rsidRDefault="0034417C">
            <w:pPr>
              <w:rPr>
                <w:sz w:val="20"/>
                <w:szCs w:val="20"/>
              </w:rPr>
            </w:pPr>
          </w:p>
        </w:tc>
        <w:tc>
          <w:tcPr>
            <w:tcW w:w="5528" w:type="dxa"/>
          </w:tcPr>
          <w:p w14:paraId="17D56C36" w14:textId="77777777" w:rsidR="0034417C" w:rsidRPr="00937DCA" w:rsidRDefault="0034417C" w:rsidP="00961D85">
            <w:pPr>
              <w:jc w:val="center"/>
              <w:rPr>
                <w:szCs w:val="21"/>
              </w:rPr>
            </w:pPr>
            <w:r w:rsidRPr="00937DCA">
              <w:rPr>
                <w:rFonts w:hint="eastAsia"/>
                <w:szCs w:val="21"/>
              </w:rPr>
              <w:t>質問</w:t>
            </w:r>
          </w:p>
        </w:tc>
        <w:tc>
          <w:tcPr>
            <w:tcW w:w="9214" w:type="dxa"/>
          </w:tcPr>
          <w:p w14:paraId="71A4FFAC" w14:textId="1E553BE3" w:rsidR="0034417C" w:rsidRPr="00937DCA" w:rsidRDefault="0034417C" w:rsidP="00961D85">
            <w:pPr>
              <w:jc w:val="center"/>
              <w:rPr>
                <w:szCs w:val="21"/>
              </w:rPr>
            </w:pPr>
            <w:r w:rsidRPr="00937DCA">
              <w:rPr>
                <w:rFonts w:hint="eastAsia"/>
                <w:szCs w:val="21"/>
              </w:rPr>
              <w:t>回答</w:t>
            </w:r>
          </w:p>
        </w:tc>
      </w:tr>
      <w:tr w:rsidR="0034417C" w:rsidRPr="00572258" w14:paraId="29B86DFC" w14:textId="77777777" w:rsidTr="004B31E1">
        <w:trPr>
          <w:trHeight w:val="1598"/>
        </w:trPr>
        <w:tc>
          <w:tcPr>
            <w:tcW w:w="704" w:type="dxa"/>
          </w:tcPr>
          <w:p w14:paraId="5498D147" w14:textId="193D5EA0" w:rsidR="0034417C" w:rsidRPr="0097787D" w:rsidRDefault="00012D51" w:rsidP="000411BF">
            <w:pPr>
              <w:jc w:val="center"/>
              <w:rPr>
                <w:sz w:val="20"/>
                <w:szCs w:val="20"/>
              </w:rPr>
            </w:pPr>
            <w:r>
              <w:rPr>
                <w:rFonts w:hint="eastAsia"/>
                <w:sz w:val="20"/>
                <w:szCs w:val="20"/>
              </w:rPr>
              <w:t>1</w:t>
            </w:r>
          </w:p>
        </w:tc>
        <w:tc>
          <w:tcPr>
            <w:tcW w:w="5528" w:type="dxa"/>
          </w:tcPr>
          <w:p w14:paraId="0F46C508" w14:textId="77777777" w:rsidR="004778DF" w:rsidRPr="004778DF" w:rsidRDefault="004778DF" w:rsidP="004778DF">
            <w:pPr>
              <w:ind w:firstLineChars="100" w:firstLine="200"/>
              <w:rPr>
                <w:sz w:val="20"/>
                <w:szCs w:val="20"/>
              </w:rPr>
            </w:pPr>
            <w:r w:rsidRPr="004778DF">
              <w:rPr>
                <w:rFonts w:hint="eastAsia"/>
                <w:sz w:val="20"/>
                <w:szCs w:val="20"/>
              </w:rPr>
              <w:t>特別永住者はパスポートが（例）韓国パスポート</w:t>
            </w:r>
          </w:p>
          <w:p w14:paraId="05A179C5" w14:textId="29017AFB" w:rsidR="00012D51" w:rsidRPr="0059397C" w:rsidRDefault="004778DF" w:rsidP="004778DF">
            <w:pPr>
              <w:rPr>
                <w:sz w:val="20"/>
                <w:szCs w:val="20"/>
              </w:rPr>
            </w:pPr>
            <w:r w:rsidRPr="004778DF">
              <w:rPr>
                <w:rFonts w:hint="eastAsia"/>
                <w:sz w:val="20"/>
                <w:szCs w:val="20"/>
              </w:rPr>
              <w:t>しかし、特別永住カード所有者は無料でカジノには入れるのですか？</w:t>
            </w:r>
          </w:p>
        </w:tc>
        <w:tc>
          <w:tcPr>
            <w:tcW w:w="9214" w:type="dxa"/>
            <w:shd w:val="clear" w:color="auto" w:fill="auto"/>
          </w:tcPr>
          <w:p w14:paraId="1EC94067" w14:textId="77571C01" w:rsidR="002F5695" w:rsidRPr="002E70D7" w:rsidRDefault="008B0BA6" w:rsidP="00FD23E5">
            <w:pPr>
              <w:ind w:firstLineChars="100" w:firstLine="200"/>
              <w:rPr>
                <w:sz w:val="20"/>
                <w:szCs w:val="20"/>
              </w:rPr>
            </w:pPr>
            <w:r w:rsidRPr="002E70D7">
              <w:rPr>
                <w:rFonts w:hint="eastAsia"/>
                <w:color w:val="000000" w:themeColor="text1"/>
                <w:sz w:val="20"/>
                <w:szCs w:val="20"/>
              </w:rPr>
              <w:t>入場料については、ＩＲ整備法において、日本国内に住居を有しない外国人を除く入場者に対し、賦課することとされており、大阪ＩＲにおいても、この規定に沿って、入場料を賦課するものです。</w:t>
            </w:r>
          </w:p>
        </w:tc>
      </w:tr>
      <w:tr w:rsidR="0034417C" w14:paraId="00526297" w14:textId="77777777" w:rsidTr="004B31E1">
        <w:trPr>
          <w:trHeight w:val="3676"/>
        </w:trPr>
        <w:tc>
          <w:tcPr>
            <w:tcW w:w="704" w:type="dxa"/>
          </w:tcPr>
          <w:p w14:paraId="2A68C15B" w14:textId="3AD58B94" w:rsidR="00012D51" w:rsidRPr="0097787D" w:rsidRDefault="00012D51" w:rsidP="008D7C56">
            <w:pPr>
              <w:jc w:val="center"/>
              <w:rPr>
                <w:sz w:val="20"/>
                <w:szCs w:val="20"/>
              </w:rPr>
            </w:pPr>
            <w:r>
              <w:rPr>
                <w:rFonts w:hint="eastAsia"/>
                <w:sz w:val="20"/>
                <w:szCs w:val="20"/>
              </w:rPr>
              <w:t>2</w:t>
            </w:r>
          </w:p>
        </w:tc>
        <w:tc>
          <w:tcPr>
            <w:tcW w:w="5528" w:type="dxa"/>
          </w:tcPr>
          <w:p w14:paraId="0FCE7E67" w14:textId="36ABC835" w:rsidR="0034417C" w:rsidRDefault="004778DF" w:rsidP="004778DF">
            <w:pPr>
              <w:rPr>
                <w:sz w:val="20"/>
                <w:szCs w:val="20"/>
              </w:rPr>
            </w:pPr>
            <w:r>
              <w:rPr>
                <w:rFonts w:hint="eastAsia"/>
                <w:sz w:val="20"/>
                <w:szCs w:val="20"/>
              </w:rPr>
              <w:t xml:space="preserve">　</w:t>
            </w:r>
            <w:r w:rsidRPr="004778DF">
              <w:rPr>
                <w:rFonts w:hint="eastAsia"/>
                <w:sz w:val="20"/>
                <w:szCs w:val="20"/>
              </w:rPr>
              <w:t>ＩＲそのものが、なんだか中途半端な施設のように感じます。特に国際会議場や展示施設は、本当に必要なのか？理由はインテックス大阪やグランキューブなどがあるからです。</w:t>
            </w:r>
          </w:p>
        </w:tc>
        <w:tc>
          <w:tcPr>
            <w:tcW w:w="9214" w:type="dxa"/>
          </w:tcPr>
          <w:p w14:paraId="6AE6670E" w14:textId="40B8445D" w:rsidR="00D87BBD" w:rsidRPr="006521AB" w:rsidRDefault="00D87BBD" w:rsidP="00D87BBD">
            <w:pPr>
              <w:tabs>
                <w:tab w:val="left" w:pos="720"/>
              </w:tabs>
              <w:ind w:firstLineChars="100" w:firstLine="200"/>
              <w:rPr>
                <w:kern w:val="0"/>
                <w:sz w:val="20"/>
                <w:szCs w:val="20"/>
              </w:rPr>
            </w:pPr>
            <w:r w:rsidRPr="006521AB">
              <w:rPr>
                <w:rFonts w:hint="eastAsia"/>
                <w:kern w:val="0"/>
                <w:sz w:val="20"/>
                <w:szCs w:val="20"/>
              </w:rPr>
              <w:t>ＩＲ施設については、ＩＲ整備法において、カジノ施設と、国際会議場施設、展示等施設、魅力増進施設、送客施設及び宿泊施設から構成される一群の施設であって、民間事業者により一体として設置され、及び運営されることが要件とされています。</w:t>
            </w:r>
          </w:p>
          <w:p w14:paraId="7FD3EDB0" w14:textId="78237FCB" w:rsidR="0034417C" w:rsidRPr="00216053" w:rsidRDefault="00D87BBD" w:rsidP="00D87BBD">
            <w:pPr>
              <w:ind w:firstLineChars="100" w:firstLine="200"/>
              <w:rPr>
                <w:sz w:val="20"/>
                <w:szCs w:val="20"/>
              </w:rPr>
            </w:pPr>
            <w:r w:rsidRPr="006521AB">
              <w:rPr>
                <w:rFonts w:hint="eastAsia"/>
                <w:kern w:val="0"/>
                <w:sz w:val="20"/>
                <w:szCs w:val="20"/>
              </w:rPr>
              <w:t>インテックス大阪（大阪国際見本市会場）やグランキューブ大阪（大阪国際会議場）とは異なり、大阪ＩＲは</w:t>
            </w:r>
            <w:r w:rsidRPr="006521AB">
              <w:rPr>
                <w:rFonts w:hint="eastAsia"/>
                <w:sz w:val="20"/>
                <w:szCs w:val="20"/>
              </w:rPr>
              <w:t>大規模な国際会議場と展示等施設が一体となった</w:t>
            </w:r>
            <w:r w:rsidRPr="006521AB">
              <w:rPr>
                <w:rFonts w:hint="eastAsia"/>
                <w:kern w:val="0"/>
                <w:sz w:val="20"/>
                <w:szCs w:val="20"/>
              </w:rPr>
              <w:t>複合型で、また、宿泊施設、飲食・物販・サービス施設及びエンターテイメント施設等を併設したオールインワン型のＭＩＣＥ施設であり、日本におけるＭＩＣＥ競争力の向上に寄与するものです。</w:t>
            </w:r>
          </w:p>
        </w:tc>
      </w:tr>
      <w:tr w:rsidR="00162646" w14:paraId="2C718C57" w14:textId="77777777" w:rsidTr="004B31E1">
        <w:trPr>
          <w:trHeight w:val="1983"/>
        </w:trPr>
        <w:tc>
          <w:tcPr>
            <w:tcW w:w="704" w:type="dxa"/>
          </w:tcPr>
          <w:p w14:paraId="6854EC3D" w14:textId="578D5D96" w:rsidR="00162646" w:rsidRDefault="00162646" w:rsidP="000411BF">
            <w:pPr>
              <w:jc w:val="center"/>
              <w:rPr>
                <w:sz w:val="20"/>
                <w:szCs w:val="20"/>
              </w:rPr>
            </w:pPr>
            <w:r>
              <w:rPr>
                <w:rFonts w:hint="eastAsia"/>
                <w:sz w:val="20"/>
                <w:szCs w:val="20"/>
              </w:rPr>
              <w:t>3</w:t>
            </w:r>
          </w:p>
        </w:tc>
        <w:tc>
          <w:tcPr>
            <w:tcW w:w="5528" w:type="dxa"/>
          </w:tcPr>
          <w:p w14:paraId="1CF7CD8F" w14:textId="0CA8C97F" w:rsidR="00162646" w:rsidRPr="00162646" w:rsidRDefault="004778DF" w:rsidP="004778DF">
            <w:pPr>
              <w:rPr>
                <w:sz w:val="20"/>
                <w:szCs w:val="20"/>
              </w:rPr>
            </w:pPr>
            <w:r>
              <w:rPr>
                <w:rFonts w:hint="eastAsia"/>
                <w:sz w:val="20"/>
                <w:szCs w:val="20"/>
              </w:rPr>
              <w:t xml:space="preserve">　</w:t>
            </w:r>
            <w:r w:rsidRPr="004778DF">
              <w:rPr>
                <w:rFonts w:hint="eastAsia"/>
                <w:sz w:val="20"/>
                <w:szCs w:val="20"/>
              </w:rPr>
              <w:t>地元企業ですが、建設にあたって提案したい商品があります。どこに行けばいいですか？万博の時のような企業向け展示会などないでしょうか？</w:t>
            </w:r>
          </w:p>
        </w:tc>
        <w:tc>
          <w:tcPr>
            <w:tcW w:w="9214" w:type="dxa"/>
          </w:tcPr>
          <w:p w14:paraId="6995A1EA" w14:textId="439E5E2B" w:rsidR="00DC38D4" w:rsidRPr="00DC38D4" w:rsidRDefault="00DC38D4" w:rsidP="00DF371C">
            <w:pPr>
              <w:ind w:firstLineChars="100" w:firstLine="200"/>
              <w:rPr>
                <w:sz w:val="20"/>
                <w:szCs w:val="20"/>
              </w:rPr>
            </w:pPr>
            <w:r w:rsidRPr="00C43469">
              <w:rPr>
                <w:rFonts w:hint="eastAsia"/>
                <w:sz w:val="20"/>
                <w:szCs w:val="20"/>
              </w:rPr>
              <w:t>ＩＲは、民設民営の事業でＩＲ事業者が建設を行うものであり、建設にあたっての調達についても適切になされるものと考えて</w:t>
            </w:r>
            <w:r w:rsidR="003D3267">
              <w:rPr>
                <w:rFonts w:hint="eastAsia"/>
                <w:sz w:val="20"/>
                <w:szCs w:val="20"/>
              </w:rPr>
              <w:t>い</w:t>
            </w:r>
            <w:r w:rsidRPr="00C43469">
              <w:rPr>
                <w:rFonts w:hint="eastAsia"/>
                <w:sz w:val="20"/>
                <w:szCs w:val="20"/>
              </w:rPr>
              <w:t>ます。</w:t>
            </w:r>
          </w:p>
        </w:tc>
      </w:tr>
      <w:tr w:rsidR="0034417C" w14:paraId="5ABAA868" w14:textId="77777777" w:rsidTr="0034417C">
        <w:trPr>
          <w:trHeight w:val="359"/>
        </w:trPr>
        <w:tc>
          <w:tcPr>
            <w:tcW w:w="704" w:type="dxa"/>
          </w:tcPr>
          <w:p w14:paraId="2D23E41E" w14:textId="33A69C35" w:rsidR="0034417C" w:rsidRPr="0097787D" w:rsidRDefault="00162646" w:rsidP="000411BF">
            <w:pPr>
              <w:jc w:val="center"/>
              <w:rPr>
                <w:sz w:val="20"/>
                <w:szCs w:val="20"/>
              </w:rPr>
            </w:pPr>
            <w:r>
              <w:rPr>
                <w:rFonts w:hint="eastAsia"/>
                <w:sz w:val="20"/>
                <w:szCs w:val="20"/>
              </w:rPr>
              <w:lastRenderedPageBreak/>
              <w:t>4</w:t>
            </w:r>
          </w:p>
        </w:tc>
        <w:tc>
          <w:tcPr>
            <w:tcW w:w="5528" w:type="dxa"/>
          </w:tcPr>
          <w:p w14:paraId="3147A11D" w14:textId="77777777" w:rsidR="0034417C" w:rsidRPr="00F23665" w:rsidRDefault="00F23665" w:rsidP="00F23665">
            <w:pPr>
              <w:rPr>
                <w:sz w:val="20"/>
                <w:szCs w:val="20"/>
              </w:rPr>
            </w:pPr>
            <w:r w:rsidRPr="00F23665">
              <w:rPr>
                <w:rFonts w:hint="eastAsia"/>
                <w:sz w:val="20"/>
                <w:szCs w:val="20"/>
              </w:rPr>
              <w:t>・</w:t>
            </w:r>
            <w:r w:rsidR="004778DF" w:rsidRPr="00F23665">
              <w:rPr>
                <w:rFonts w:hint="eastAsia"/>
                <w:sz w:val="20"/>
                <w:szCs w:val="20"/>
              </w:rPr>
              <w:t>南海トラフ地震対策についておしえて下さい</w:t>
            </w:r>
          </w:p>
          <w:p w14:paraId="54F30D1E" w14:textId="37EFDB66" w:rsidR="00F23665" w:rsidRPr="00162646" w:rsidRDefault="00F23665" w:rsidP="00F23665">
            <w:pPr>
              <w:rPr>
                <w:sz w:val="20"/>
                <w:szCs w:val="20"/>
              </w:rPr>
            </w:pPr>
            <w:r w:rsidRPr="00F23665">
              <w:rPr>
                <w:rFonts w:hint="eastAsia"/>
                <w:sz w:val="20"/>
                <w:szCs w:val="20"/>
              </w:rPr>
              <w:t>・南海トラフが予想されている為、津波や地盤沈下については、いくらクイを打ち、しっかりした建物を建てたとしても本当に大丈夫か。</w:t>
            </w:r>
            <w:r w:rsidRPr="00F23665">
              <w:rPr>
                <w:sz w:val="20"/>
                <w:szCs w:val="20"/>
              </w:rPr>
              <w:t>27F建ての上層階は良いとしても下層階は大丈夫か心配です</w:t>
            </w:r>
          </w:p>
        </w:tc>
        <w:tc>
          <w:tcPr>
            <w:tcW w:w="9214" w:type="dxa"/>
          </w:tcPr>
          <w:p w14:paraId="50CD626D" w14:textId="0DDB37F8" w:rsidR="00F912DE" w:rsidRPr="00F912DE" w:rsidRDefault="00F912DE" w:rsidP="00F912DE">
            <w:pPr>
              <w:ind w:firstLineChars="100" w:firstLine="200"/>
              <w:rPr>
                <w:sz w:val="20"/>
                <w:szCs w:val="20"/>
              </w:rPr>
            </w:pPr>
            <w:r w:rsidRPr="00F912DE">
              <w:rPr>
                <w:rFonts w:hint="eastAsia"/>
                <w:sz w:val="20"/>
                <w:szCs w:val="20"/>
              </w:rPr>
              <w:t>ＩＲ区域の現状地盤高さは</w:t>
            </w:r>
            <w:r w:rsidRPr="00F912DE">
              <w:rPr>
                <w:sz w:val="20"/>
                <w:szCs w:val="20"/>
              </w:rPr>
              <w:t>O.P.+11ｍ程度で、地盤沈下を見込んだ50年後でも、地盤高さはO.P.+９ｍ程度であると推定しており、満潮時の南海トラフ巨大地震における夢洲周辺での津波予測高さO.P.＋5.4mに対しても、十分な地盤高さを確保しています。液状化対策としては、セメント系固化工法により建物直下の約21ha、改良層厚概ね３から５ｍを改良することとしています。また、夢</w:t>
            </w:r>
            <w:r w:rsidRPr="00F912DE">
              <w:rPr>
                <w:rFonts w:hint="eastAsia"/>
                <w:sz w:val="20"/>
                <w:szCs w:val="20"/>
              </w:rPr>
              <w:t>洲へのアクセスとなる夢咲トンネルや夢舞大橋については南海トラフ巨大地震に対する耐震性を確保しています。</w:t>
            </w:r>
          </w:p>
          <w:p w14:paraId="0B4B16E9" w14:textId="786540F0" w:rsidR="0034417C" w:rsidRPr="00216053" w:rsidRDefault="00F912DE" w:rsidP="00F912DE">
            <w:pPr>
              <w:ind w:firstLineChars="100" w:firstLine="200"/>
              <w:rPr>
                <w:sz w:val="20"/>
                <w:szCs w:val="20"/>
              </w:rPr>
            </w:pPr>
            <w:r w:rsidRPr="00F912DE">
              <w:rPr>
                <w:rFonts w:hint="eastAsia"/>
                <w:sz w:val="20"/>
                <w:szCs w:val="20"/>
              </w:rPr>
              <w:t>ＩＲ事業者においては、重要施設の高い耐震性能の確保やエネルギー自立対策等、災害への防災・減災対策に取り組むこととしています。万が一、陸の孤島となるなどの災害等緊急時には、大阪ＩＲ内の敷地や施設を活用し、安全に退避し一時滞在できる場所の提供や</w:t>
            </w:r>
            <w:r w:rsidRPr="00F912DE">
              <w:rPr>
                <w:sz w:val="20"/>
                <w:szCs w:val="20"/>
              </w:rPr>
              <w:t>3日間以上の備蓄品の保管等、帰宅困難者に対するサポートを行う予定として</w:t>
            </w:r>
            <w:r w:rsidR="003D3267">
              <w:rPr>
                <w:rFonts w:hint="eastAsia"/>
                <w:sz w:val="20"/>
                <w:szCs w:val="20"/>
              </w:rPr>
              <w:t>い</w:t>
            </w:r>
            <w:r w:rsidRPr="00F912DE">
              <w:rPr>
                <w:sz w:val="20"/>
                <w:szCs w:val="20"/>
              </w:rPr>
              <w:t>ます。</w:t>
            </w:r>
          </w:p>
        </w:tc>
      </w:tr>
      <w:tr w:rsidR="00E04E6F" w14:paraId="71368FD1" w14:textId="77777777" w:rsidTr="0034417C">
        <w:trPr>
          <w:trHeight w:val="359"/>
        </w:trPr>
        <w:tc>
          <w:tcPr>
            <w:tcW w:w="704" w:type="dxa"/>
          </w:tcPr>
          <w:p w14:paraId="5360EE30" w14:textId="60C22023" w:rsidR="00E04E6F" w:rsidRDefault="00162646" w:rsidP="000411BF">
            <w:pPr>
              <w:jc w:val="center"/>
              <w:rPr>
                <w:sz w:val="20"/>
                <w:szCs w:val="20"/>
              </w:rPr>
            </w:pPr>
            <w:r>
              <w:rPr>
                <w:rFonts w:hint="eastAsia"/>
                <w:sz w:val="20"/>
                <w:szCs w:val="20"/>
              </w:rPr>
              <w:t>5</w:t>
            </w:r>
          </w:p>
        </w:tc>
        <w:tc>
          <w:tcPr>
            <w:tcW w:w="5528" w:type="dxa"/>
          </w:tcPr>
          <w:p w14:paraId="7558084C" w14:textId="77777777" w:rsidR="004778DF" w:rsidRPr="004778DF" w:rsidRDefault="004778DF" w:rsidP="004778DF">
            <w:pPr>
              <w:ind w:firstLineChars="100" w:firstLine="200"/>
              <w:rPr>
                <w:sz w:val="20"/>
                <w:szCs w:val="20"/>
              </w:rPr>
            </w:pPr>
            <w:r w:rsidRPr="004778DF">
              <w:rPr>
                <w:rFonts w:hint="eastAsia"/>
                <w:sz w:val="20"/>
                <w:szCs w:val="20"/>
              </w:rPr>
              <w:t>（地域への貢献について）もっと実感のわく具体的な内容を知らせてほしい。</w:t>
            </w:r>
          </w:p>
          <w:p w14:paraId="489E97C1" w14:textId="4D433316" w:rsidR="00E04E6F" w:rsidRPr="00747CA1" w:rsidRDefault="004778DF" w:rsidP="004778DF">
            <w:pPr>
              <w:ind w:firstLineChars="100" w:firstLine="200"/>
              <w:rPr>
                <w:sz w:val="20"/>
                <w:szCs w:val="20"/>
              </w:rPr>
            </w:pPr>
            <w:r w:rsidRPr="004778DF">
              <w:rPr>
                <w:rFonts w:hint="eastAsia"/>
                <w:sz w:val="20"/>
                <w:szCs w:val="20"/>
              </w:rPr>
              <w:t>国内来訪者数</w:t>
            </w:r>
            <w:r w:rsidRPr="004778DF">
              <w:rPr>
                <w:sz w:val="20"/>
                <w:szCs w:val="20"/>
              </w:rPr>
              <w:t>1,400万人/年のうち、大阪・近畿圏の来訪はどれくらいとみこんでいるのか？</w:t>
            </w:r>
          </w:p>
        </w:tc>
        <w:tc>
          <w:tcPr>
            <w:tcW w:w="9214" w:type="dxa"/>
          </w:tcPr>
          <w:p w14:paraId="4E5BA91E" w14:textId="5BBCEDE9" w:rsidR="00D87BBD" w:rsidRPr="00F22070" w:rsidRDefault="00D87BBD" w:rsidP="00D87BBD">
            <w:pPr>
              <w:ind w:firstLineChars="100" w:firstLine="200"/>
              <w:rPr>
                <w:sz w:val="20"/>
                <w:szCs w:val="20"/>
              </w:rPr>
            </w:pPr>
            <w:r w:rsidRPr="00F22070">
              <w:rPr>
                <w:rFonts w:hint="eastAsia"/>
                <w:sz w:val="20"/>
                <w:szCs w:val="20"/>
              </w:rPr>
              <w:t>大阪ＩＲでは、地域の金融機関との連携を通じて、資金面や情報面での支援を提供し、中小企業による大阪ＩＲとの取引関係構築の支援に取り組み、地元企業・中小企業に対して大阪ＩＲへの参入機会を提供し、大阪ＩＲと取引関係を構築する事業者の裾野を</w:t>
            </w:r>
            <w:r w:rsidR="00FB7378">
              <w:rPr>
                <w:rFonts w:hint="eastAsia"/>
                <w:sz w:val="20"/>
                <w:szCs w:val="20"/>
              </w:rPr>
              <w:t>広</w:t>
            </w:r>
            <w:r w:rsidRPr="00F22070">
              <w:rPr>
                <w:rFonts w:hint="eastAsia"/>
                <w:sz w:val="20"/>
                <w:szCs w:val="20"/>
              </w:rPr>
              <w:t>げるとともに、地元からの調達促進を図っていきます。加えて、地元産品の継続的な調達を通じて、地元企業と持続的な取引を行い、その発展に寄与するとともに、調達先の選定においては、地域の金融機関や経済団体等と連携し、地元企業から積極的な調達を行うこととして</w:t>
            </w:r>
            <w:r w:rsidR="003D3267">
              <w:rPr>
                <w:rFonts w:hint="eastAsia"/>
                <w:sz w:val="20"/>
                <w:szCs w:val="20"/>
              </w:rPr>
              <w:t>い</w:t>
            </w:r>
            <w:r w:rsidRPr="00F22070">
              <w:rPr>
                <w:rFonts w:hint="eastAsia"/>
                <w:sz w:val="20"/>
                <w:szCs w:val="20"/>
              </w:rPr>
              <w:t>ます。</w:t>
            </w:r>
          </w:p>
          <w:p w14:paraId="2D73B712" w14:textId="77777777" w:rsidR="00D87BBD" w:rsidRPr="003B4F0F" w:rsidRDefault="00D87BBD" w:rsidP="00D87BBD">
            <w:pPr>
              <w:ind w:firstLineChars="100" w:firstLine="200"/>
              <w:rPr>
                <w:sz w:val="20"/>
                <w:szCs w:val="20"/>
                <w:highlight w:val="yellow"/>
              </w:rPr>
            </w:pPr>
            <w:r w:rsidRPr="00F22070">
              <w:rPr>
                <w:rFonts w:hint="eastAsia"/>
                <w:sz w:val="20"/>
                <w:szCs w:val="20"/>
              </w:rPr>
              <w:t>ＭＩＣＥ施設に</w:t>
            </w:r>
            <w:r>
              <w:rPr>
                <w:rFonts w:hint="eastAsia"/>
                <w:sz w:val="20"/>
                <w:szCs w:val="20"/>
              </w:rPr>
              <w:t>おいては、</w:t>
            </w:r>
            <w:r w:rsidRPr="00F22070">
              <w:rPr>
                <w:rFonts w:hint="eastAsia"/>
                <w:sz w:val="20"/>
                <w:szCs w:val="20"/>
              </w:rPr>
              <w:t>「関西イノベーション・ラボ」を設置し、イノベーションの創出やビジネスの国際化の支援などに取り組むとともに、魅力増進施設として設置する「関西ジャパンハウス」では、大阪・関西の伝統産業の発信による地域資源の発掘を、「ジャパン・フードパビリオン」では、豊かな食文化の発信等により地域ブランディングの向上などを図ります。</w:t>
            </w:r>
          </w:p>
          <w:p w14:paraId="4B42F8D7" w14:textId="2B94058E" w:rsidR="00D87BBD" w:rsidRPr="00B21F05" w:rsidRDefault="00D87BBD" w:rsidP="00D87BBD">
            <w:pPr>
              <w:ind w:firstLineChars="100" w:firstLine="200"/>
              <w:rPr>
                <w:sz w:val="20"/>
                <w:szCs w:val="20"/>
              </w:rPr>
            </w:pPr>
            <w:r>
              <w:rPr>
                <w:rFonts w:hint="eastAsia"/>
                <w:sz w:val="20"/>
                <w:szCs w:val="20"/>
              </w:rPr>
              <w:t>また</w:t>
            </w:r>
            <w:r w:rsidRPr="00F22070">
              <w:rPr>
                <w:rFonts w:hint="eastAsia"/>
                <w:sz w:val="20"/>
                <w:szCs w:val="20"/>
              </w:rPr>
              <w:t>、大阪ＩＲが導入する会員ポイントプログラムの活用など、ＩＲ来訪者の地域への送客や周遊促進、地域での消費喚起を図っていくこととしています</w:t>
            </w:r>
            <w:r w:rsidRPr="00B21F05">
              <w:rPr>
                <w:rFonts w:hint="eastAsia"/>
                <w:sz w:val="20"/>
                <w:szCs w:val="20"/>
              </w:rPr>
              <w:t>。</w:t>
            </w:r>
          </w:p>
          <w:p w14:paraId="0730ABAC" w14:textId="215F3B7D" w:rsidR="00E04E6F" w:rsidRDefault="00D87BBD" w:rsidP="00D87BBD">
            <w:pPr>
              <w:ind w:firstLineChars="100" w:firstLine="200"/>
              <w:rPr>
                <w:sz w:val="20"/>
                <w:szCs w:val="20"/>
              </w:rPr>
            </w:pPr>
            <w:r w:rsidRPr="00B21F05">
              <w:rPr>
                <w:rFonts w:hint="eastAsia"/>
                <w:sz w:val="20"/>
                <w:szCs w:val="20"/>
              </w:rPr>
              <w:t>ＩＲ区域への来訪者数については、海外、国内（宿泊）、国内（日帰り）で分類しており、国内の来訪者約1,400万人のうち、国内（日帰り）の来訪者は約1,</w:t>
            </w:r>
            <w:r w:rsidRPr="00B21F05">
              <w:rPr>
                <w:sz w:val="20"/>
                <w:szCs w:val="20"/>
              </w:rPr>
              <w:t>100</w:t>
            </w:r>
            <w:r w:rsidRPr="00B21F05">
              <w:rPr>
                <w:rFonts w:hint="eastAsia"/>
                <w:sz w:val="20"/>
                <w:szCs w:val="20"/>
              </w:rPr>
              <w:t>万人と見込んでいます。</w:t>
            </w:r>
          </w:p>
        </w:tc>
      </w:tr>
      <w:tr w:rsidR="0034417C" w14:paraId="3FEA6F3D" w14:textId="77777777" w:rsidTr="004B31E1">
        <w:trPr>
          <w:trHeight w:val="3194"/>
        </w:trPr>
        <w:tc>
          <w:tcPr>
            <w:tcW w:w="704" w:type="dxa"/>
          </w:tcPr>
          <w:p w14:paraId="78BD9247" w14:textId="4DCDE909" w:rsidR="0034417C" w:rsidRPr="0097787D" w:rsidRDefault="00162646" w:rsidP="000411BF">
            <w:pPr>
              <w:jc w:val="center"/>
              <w:rPr>
                <w:sz w:val="20"/>
                <w:szCs w:val="20"/>
              </w:rPr>
            </w:pPr>
            <w:r>
              <w:rPr>
                <w:rFonts w:hint="eastAsia"/>
                <w:sz w:val="20"/>
                <w:szCs w:val="20"/>
              </w:rPr>
              <w:lastRenderedPageBreak/>
              <w:t>6</w:t>
            </w:r>
          </w:p>
        </w:tc>
        <w:tc>
          <w:tcPr>
            <w:tcW w:w="5528" w:type="dxa"/>
          </w:tcPr>
          <w:p w14:paraId="1BA1950C" w14:textId="64D43588" w:rsidR="0034417C" w:rsidRDefault="004778DF" w:rsidP="004778DF">
            <w:pPr>
              <w:ind w:firstLineChars="100" w:firstLine="200"/>
              <w:rPr>
                <w:sz w:val="20"/>
                <w:szCs w:val="20"/>
              </w:rPr>
            </w:pPr>
            <w:r w:rsidRPr="004778DF">
              <w:rPr>
                <w:rFonts w:hint="eastAsia"/>
                <w:sz w:val="20"/>
                <w:szCs w:val="20"/>
              </w:rPr>
              <w:t>ＭＧＭが契約期間中ぜったいに日本国内においてオンラインギャンブルを行わないのか確約できるのか、その根拠を示してほしい</w:t>
            </w:r>
          </w:p>
        </w:tc>
        <w:tc>
          <w:tcPr>
            <w:tcW w:w="9214" w:type="dxa"/>
          </w:tcPr>
          <w:p w14:paraId="0C075CAD" w14:textId="77777777" w:rsidR="001E3774" w:rsidRPr="003A2961" w:rsidRDefault="001E3774" w:rsidP="001E3774">
            <w:pPr>
              <w:ind w:firstLineChars="100" w:firstLine="200"/>
              <w:rPr>
                <w:sz w:val="20"/>
                <w:szCs w:val="20"/>
              </w:rPr>
            </w:pPr>
            <w:r w:rsidRPr="003A2961">
              <w:rPr>
                <w:rFonts w:hint="eastAsia"/>
                <w:sz w:val="20"/>
                <w:szCs w:val="20"/>
              </w:rPr>
              <w:t>ＩＲ整備法第２条では、「カジノ行為」とは、事業者と顧客、または顧客相互間で、同一の施設において、その場所に設置された機器等を用いて行う行為と定義されており、同法第３９条では、「カジノ行為区画」でカジノを行う行為には刑法の規定は適用しないこととなっています。</w:t>
            </w:r>
          </w:p>
          <w:p w14:paraId="117B0715" w14:textId="3E500169" w:rsidR="001E3774" w:rsidRPr="003A2961" w:rsidRDefault="001E3774" w:rsidP="001E3774">
            <w:pPr>
              <w:ind w:firstLineChars="100" w:firstLine="200"/>
              <w:rPr>
                <w:sz w:val="20"/>
                <w:szCs w:val="20"/>
              </w:rPr>
            </w:pPr>
            <w:r w:rsidRPr="003A2961">
              <w:rPr>
                <w:rFonts w:hint="eastAsia"/>
                <w:sz w:val="20"/>
                <w:szCs w:val="20"/>
              </w:rPr>
              <w:t>さらに、同法第７３条では、事業者はカジノ行為区画のうち、カジノ管理委員会規則で定める部分において行わなければならないと規定されています。</w:t>
            </w:r>
          </w:p>
          <w:p w14:paraId="20DFAC87" w14:textId="3C713D5C" w:rsidR="00FF493A" w:rsidRPr="003A2961" w:rsidRDefault="001E3774" w:rsidP="00C43469">
            <w:pPr>
              <w:ind w:firstLineChars="100" w:firstLine="200"/>
              <w:rPr>
                <w:sz w:val="20"/>
                <w:szCs w:val="20"/>
              </w:rPr>
            </w:pPr>
            <w:r w:rsidRPr="003A2961">
              <w:rPr>
                <w:sz w:val="20"/>
                <w:szCs w:val="20"/>
              </w:rPr>
              <w:t>以上のように、ＩＲ整備法では、カジノ行為ができるエリアは限定されており、大阪ＩＲにおいては、オンラインによる参加やカジノ施設以外でのカジノ行為はできないこととなってい</w:t>
            </w:r>
            <w:r w:rsidRPr="003A2961">
              <w:rPr>
                <w:rFonts w:hint="eastAsia"/>
                <w:sz w:val="20"/>
                <w:szCs w:val="20"/>
              </w:rPr>
              <w:t>ます</w:t>
            </w:r>
            <w:r w:rsidRPr="003A2961">
              <w:rPr>
                <w:sz w:val="20"/>
                <w:szCs w:val="20"/>
              </w:rPr>
              <w:t>。</w:t>
            </w:r>
          </w:p>
        </w:tc>
      </w:tr>
      <w:tr w:rsidR="0034417C" w14:paraId="7B9A1DBF" w14:textId="77777777" w:rsidTr="0034417C">
        <w:trPr>
          <w:trHeight w:val="359"/>
        </w:trPr>
        <w:tc>
          <w:tcPr>
            <w:tcW w:w="704" w:type="dxa"/>
          </w:tcPr>
          <w:p w14:paraId="249821F6" w14:textId="00D23570" w:rsidR="0034417C" w:rsidRPr="0097787D" w:rsidRDefault="00162646" w:rsidP="000411BF">
            <w:pPr>
              <w:jc w:val="center"/>
              <w:rPr>
                <w:sz w:val="20"/>
                <w:szCs w:val="20"/>
              </w:rPr>
            </w:pPr>
            <w:r>
              <w:rPr>
                <w:rFonts w:hint="eastAsia"/>
                <w:sz w:val="20"/>
                <w:szCs w:val="20"/>
              </w:rPr>
              <w:t>7</w:t>
            </w:r>
          </w:p>
        </w:tc>
        <w:tc>
          <w:tcPr>
            <w:tcW w:w="5528" w:type="dxa"/>
          </w:tcPr>
          <w:p w14:paraId="7B5B9CD3" w14:textId="4F5CD72C" w:rsidR="0034417C" w:rsidRDefault="004778DF" w:rsidP="003B0DCE">
            <w:pPr>
              <w:ind w:firstLineChars="100" w:firstLine="200"/>
              <w:rPr>
                <w:sz w:val="20"/>
                <w:szCs w:val="20"/>
              </w:rPr>
            </w:pPr>
            <w:r w:rsidRPr="004778DF">
              <w:rPr>
                <w:rFonts w:hint="eastAsia"/>
                <w:sz w:val="20"/>
                <w:szCs w:val="20"/>
              </w:rPr>
              <w:t>今後発展すると見込まれる観光業に人材を集めると言っていたが、その分、社会基盤を担う医りょう・福祉・教育・建設・防災などの人材がけずられるのはやむをえないということか？</w:t>
            </w:r>
          </w:p>
        </w:tc>
        <w:tc>
          <w:tcPr>
            <w:tcW w:w="9214" w:type="dxa"/>
          </w:tcPr>
          <w:p w14:paraId="6D59DE68" w14:textId="3712F1BD" w:rsidR="00193425" w:rsidRDefault="00D87BBD" w:rsidP="00D87BBD">
            <w:pPr>
              <w:ind w:firstLineChars="100" w:firstLine="200"/>
              <w:rPr>
                <w:sz w:val="20"/>
                <w:szCs w:val="20"/>
                <w:shd w:val="pct15" w:color="auto" w:fill="FFFFFF"/>
              </w:rPr>
            </w:pPr>
            <w:r w:rsidRPr="009A36FC">
              <w:rPr>
                <w:rFonts w:hint="eastAsia"/>
                <w:sz w:val="20"/>
                <w:szCs w:val="20"/>
              </w:rPr>
              <w:t>人口減少や超高齢化が進み、労働力の減少が懸念される中、</w:t>
            </w:r>
            <w:r w:rsidR="00DF371C">
              <w:rPr>
                <w:rFonts w:hint="eastAsia"/>
                <w:sz w:val="20"/>
                <w:szCs w:val="20"/>
              </w:rPr>
              <w:t>様々な領域で</w:t>
            </w:r>
            <w:r w:rsidR="00707B23" w:rsidRPr="00C43469">
              <w:rPr>
                <w:rFonts w:hint="eastAsia"/>
                <w:sz w:val="20"/>
                <w:szCs w:val="20"/>
              </w:rPr>
              <w:t>人材</w:t>
            </w:r>
            <w:r w:rsidR="00193425" w:rsidRPr="00C43469">
              <w:rPr>
                <w:rFonts w:hint="eastAsia"/>
                <w:sz w:val="20"/>
                <w:szCs w:val="20"/>
              </w:rPr>
              <w:t>確保が困難であると認識しているところです。</w:t>
            </w:r>
          </w:p>
          <w:p w14:paraId="7803EA47" w14:textId="202DCB6E" w:rsidR="00D87BBD" w:rsidRPr="009A36FC" w:rsidRDefault="00193425" w:rsidP="00D87BBD">
            <w:pPr>
              <w:ind w:firstLineChars="100" w:firstLine="200"/>
              <w:rPr>
                <w:sz w:val="20"/>
                <w:szCs w:val="20"/>
              </w:rPr>
            </w:pPr>
            <w:r w:rsidRPr="00C43469">
              <w:rPr>
                <w:rFonts w:hint="eastAsia"/>
                <w:sz w:val="20"/>
                <w:szCs w:val="20"/>
              </w:rPr>
              <w:t>一方で、</w:t>
            </w:r>
            <w:r w:rsidR="00D87BBD" w:rsidRPr="009A36FC">
              <w:rPr>
                <w:rFonts w:hint="eastAsia"/>
                <w:sz w:val="20"/>
                <w:szCs w:val="20"/>
              </w:rPr>
              <w:t>大阪の更なる成長のためには、今後の市場拡大など将来性が見込まれる成長産業への注力が必要</w:t>
            </w:r>
            <w:r w:rsidR="00D87BBD">
              <w:rPr>
                <w:rFonts w:hint="eastAsia"/>
                <w:sz w:val="20"/>
                <w:szCs w:val="20"/>
              </w:rPr>
              <w:t>と考えています。</w:t>
            </w:r>
            <w:r w:rsidR="00D87BBD" w:rsidRPr="009A36FC">
              <w:rPr>
                <w:rFonts w:hint="eastAsia"/>
                <w:sz w:val="20"/>
                <w:szCs w:val="20"/>
              </w:rPr>
              <w:t>世界的にも著しい成長分野であるインバウンドは大きな可能性を有しており、裾野が広い観光産業は日本における基幹産業へと成長するポテンシャルを有</w:t>
            </w:r>
            <w:r w:rsidR="009642DE" w:rsidRPr="00C43469">
              <w:rPr>
                <w:rFonts w:hint="eastAsia"/>
                <w:sz w:val="20"/>
                <w:szCs w:val="20"/>
              </w:rPr>
              <w:t>し、</w:t>
            </w:r>
            <w:r w:rsidR="00D87BBD" w:rsidRPr="009A36FC">
              <w:rPr>
                <w:rFonts w:hint="eastAsia"/>
                <w:sz w:val="20"/>
                <w:szCs w:val="20"/>
              </w:rPr>
              <w:t>観光産業には大きなニーズと将来性があ</w:t>
            </w:r>
            <w:r w:rsidR="00D87BBD">
              <w:rPr>
                <w:rFonts w:hint="eastAsia"/>
                <w:sz w:val="20"/>
                <w:szCs w:val="20"/>
              </w:rPr>
              <w:t>ります。</w:t>
            </w:r>
          </w:p>
          <w:p w14:paraId="493F94FC" w14:textId="77777777" w:rsidR="00D87BBD" w:rsidRDefault="00D87BBD" w:rsidP="00D87BBD">
            <w:pPr>
              <w:ind w:firstLineChars="100" w:firstLine="200"/>
              <w:rPr>
                <w:sz w:val="20"/>
                <w:szCs w:val="20"/>
              </w:rPr>
            </w:pPr>
            <w:r w:rsidRPr="009A36FC">
              <w:rPr>
                <w:rFonts w:hint="eastAsia"/>
                <w:sz w:val="20"/>
                <w:szCs w:val="20"/>
              </w:rPr>
              <w:t>大阪府・市は、ＩＲ整備法に基づき、大阪・関西が有するポテンシャルと民間の創意工夫を最大限活かしつつ、ＩＲを実現することで、成長産業たる観光分野の基幹産業化を図るとともに、大阪経済の更なる成長を実現し、もって国全体の観光及び経済振興をめざ</w:t>
            </w:r>
            <w:r>
              <w:rPr>
                <w:rFonts w:hint="eastAsia"/>
                <w:sz w:val="20"/>
                <w:szCs w:val="20"/>
              </w:rPr>
              <w:t>していきます</w:t>
            </w:r>
            <w:r w:rsidRPr="009A36FC">
              <w:rPr>
                <w:rFonts w:hint="eastAsia"/>
                <w:sz w:val="20"/>
                <w:szCs w:val="20"/>
              </w:rPr>
              <w:t>。</w:t>
            </w:r>
          </w:p>
          <w:p w14:paraId="563F84E5" w14:textId="77777777" w:rsidR="0034417C" w:rsidRDefault="00D87BBD" w:rsidP="00D87BBD">
            <w:pPr>
              <w:ind w:firstLineChars="100" w:firstLine="200"/>
              <w:rPr>
                <w:sz w:val="20"/>
                <w:szCs w:val="20"/>
              </w:rPr>
            </w:pPr>
            <w:r w:rsidRPr="00DF371C">
              <w:rPr>
                <w:rFonts w:hint="eastAsia"/>
                <w:sz w:val="20"/>
                <w:szCs w:val="20"/>
              </w:rPr>
              <w:t>大阪ＩＲ</w:t>
            </w:r>
            <w:r w:rsidRPr="00DF371C">
              <w:rPr>
                <w:sz w:val="20"/>
                <w:szCs w:val="20"/>
              </w:rPr>
              <w:t>の人材確保については、女性、シニア</w:t>
            </w:r>
            <w:r w:rsidRPr="00DF371C">
              <w:rPr>
                <w:rFonts w:hint="eastAsia"/>
                <w:sz w:val="20"/>
                <w:szCs w:val="20"/>
              </w:rPr>
              <w:t>、障がい者</w:t>
            </w:r>
            <w:r w:rsidRPr="00DF371C">
              <w:rPr>
                <w:sz w:val="20"/>
                <w:szCs w:val="20"/>
              </w:rPr>
              <w:t>など、多様な人材に対する柔軟な働き方や、働きやすい労働環境整備等を通じて、就労層の拡大、就業率の向上をめざしていく</w:t>
            </w:r>
            <w:r w:rsidRPr="00DF371C">
              <w:rPr>
                <w:rFonts w:hint="eastAsia"/>
                <w:sz w:val="20"/>
                <w:szCs w:val="20"/>
              </w:rPr>
              <w:t>こととしています。</w:t>
            </w:r>
          </w:p>
          <w:p w14:paraId="049C4F48" w14:textId="6532504D" w:rsidR="004B31E1" w:rsidRPr="004778DF" w:rsidRDefault="004B31E1" w:rsidP="00D87BBD">
            <w:pPr>
              <w:ind w:firstLineChars="100" w:firstLine="200"/>
              <w:rPr>
                <w:sz w:val="20"/>
                <w:szCs w:val="20"/>
              </w:rPr>
            </w:pPr>
          </w:p>
        </w:tc>
      </w:tr>
      <w:tr w:rsidR="0034417C" w14:paraId="3964D8FD" w14:textId="77777777" w:rsidTr="0034417C">
        <w:trPr>
          <w:trHeight w:val="359"/>
        </w:trPr>
        <w:tc>
          <w:tcPr>
            <w:tcW w:w="704" w:type="dxa"/>
          </w:tcPr>
          <w:p w14:paraId="09E457D1" w14:textId="36DC403E" w:rsidR="0034417C" w:rsidRPr="0097787D" w:rsidRDefault="00162646" w:rsidP="000411BF">
            <w:pPr>
              <w:jc w:val="center"/>
              <w:rPr>
                <w:sz w:val="20"/>
                <w:szCs w:val="20"/>
              </w:rPr>
            </w:pPr>
            <w:r>
              <w:rPr>
                <w:rFonts w:hint="eastAsia"/>
                <w:sz w:val="20"/>
                <w:szCs w:val="20"/>
              </w:rPr>
              <w:t>8</w:t>
            </w:r>
          </w:p>
        </w:tc>
        <w:tc>
          <w:tcPr>
            <w:tcW w:w="5528" w:type="dxa"/>
          </w:tcPr>
          <w:p w14:paraId="1809AF51" w14:textId="3BB6D84D" w:rsidR="0034417C" w:rsidRPr="00162646" w:rsidRDefault="004778DF" w:rsidP="004778DF">
            <w:pPr>
              <w:ind w:firstLineChars="100" w:firstLine="200"/>
              <w:rPr>
                <w:sz w:val="20"/>
                <w:szCs w:val="20"/>
              </w:rPr>
            </w:pPr>
            <w:r w:rsidRPr="004778DF">
              <w:rPr>
                <w:rFonts w:hint="eastAsia"/>
                <w:sz w:val="20"/>
                <w:szCs w:val="20"/>
              </w:rPr>
              <w:t>「タブロイド判広報紙」（</w:t>
            </w:r>
            <w:r w:rsidRPr="004778DF">
              <w:rPr>
                <w:sz w:val="20"/>
                <w:szCs w:val="20"/>
              </w:rPr>
              <w:t>22年３月１日に新聞折込み）はＨＰで公開されていますか？されていないなら公開して下さい。</w:t>
            </w:r>
          </w:p>
        </w:tc>
        <w:tc>
          <w:tcPr>
            <w:tcW w:w="9214" w:type="dxa"/>
          </w:tcPr>
          <w:p w14:paraId="4697675B" w14:textId="006AE179" w:rsidR="006A6478" w:rsidRPr="00ED5381" w:rsidRDefault="003569CF" w:rsidP="00FD23E5">
            <w:pPr>
              <w:ind w:firstLineChars="100" w:firstLine="200"/>
              <w:rPr>
                <w:sz w:val="20"/>
                <w:szCs w:val="20"/>
              </w:rPr>
            </w:pPr>
            <w:r w:rsidRPr="00ED5381">
              <w:rPr>
                <w:rFonts w:hint="eastAsia"/>
                <w:color w:val="000000" w:themeColor="text1"/>
                <w:sz w:val="20"/>
                <w:szCs w:val="20"/>
              </w:rPr>
              <w:t>タブロイド判広報紙については、最新の</w:t>
            </w:r>
            <w:r w:rsidRPr="00ED5381">
              <w:rPr>
                <w:color w:val="000000" w:themeColor="text1"/>
                <w:sz w:val="20"/>
                <w:szCs w:val="20"/>
              </w:rPr>
              <w:t>ものを</w:t>
            </w:r>
            <w:r w:rsidR="00007746" w:rsidRPr="00C43469">
              <w:rPr>
                <w:rFonts w:hint="eastAsia"/>
                <w:sz w:val="20"/>
                <w:szCs w:val="20"/>
              </w:rPr>
              <w:t>令和８年２月1</w:t>
            </w:r>
            <w:r w:rsidR="00007746" w:rsidRPr="00C43469">
              <w:rPr>
                <w:sz w:val="20"/>
                <w:szCs w:val="20"/>
              </w:rPr>
              <w:t>6</w:t>
            </w:r>
            <w:r w:rsidR="00007746" w:rsidRPr="00C43469">
              <w:rPr>
                <w:rFonts w:hint="eastAsia"/>
                <w:sz w:val="20"/>
                <w:szCs w:val="20"/>
              </w:rPr>
              <w:t>日に</w:t>
            </w:r>
            <w:r w:rsidRPr="00ED5381">
              <w:rPr>
                <w:color w:val="000000" w:themeColor="text1"/>
                <w:sz w:val="20"/>
                <w:szCs w:val="20"/>
              </w:rPr>
              <w:t>大阪府</w:t>
            </w:r>
            <w:r w:rsidR="003514AF" w:rsidRPr="00ED5381">
              <w:rPr>
                <w:rFonts w:hint="eastAsia"/>
                <w:color w:val="000000" w:themeColor="text1"/>
                <w:sz w:val="20"/>
                <w:szCs w:val="20"/>
              </w:rPr>
              <w:t>ホームページ</w:t>
            </w:r>
            <w:r w:rsidRPr="00ED5381">
              <w:rPr>
                <w:color w:val="000000" w:themeColor="text1"/>
                <w:sz w:val="20"/>
                <w:szCs w:val="20"/>
              </w:rPr>
              <w:t>に公開</w:t>
            </w:r>
            <w:r w:rsidR="00007746" w:rsidRPr="00C43469">
              <w:rPr>
                <w:rFonts w:hint="eastAsia"/>
                <w:sz w:val="20"/>
                <w:szCs w:val="20"/>
              </w:rPr>
              <w:t>いたしました。</w:t>
            </w:r>
          </w:p>
        </w:tc>
      </w:tr>
      <w:tr w:rsidR="0034417C" w14:paraId="408D6872" w14:textId="77777777" w:rsidTr="004B31E1">
        <w:trPr>
          <w:trHeight w:val="3619"/>
        </w:trPr>
        <w:tc>
          <w:tcPr>
            <w:tcW w:w="704" w:type="dxa"/>
          </w:tcPr>
          <w:p w14:paraId="399CFDA2" w14:textId="2726C288" w:rsidR="0034417C" w:rsidRPr="0097787D" w:rsidRDefault="00162646" w:rsidP="000411BF">
            <w:pPr>
              <w:jc w:val="center"/>
              <w:rPr>
                <w:sz w:val="20"/>
                <w:szCs w:val="20"/>
              </w:rPr>
            </w:pPr>
            <w:r>
              <w:rPr>
                <w:rFonts w:hint="eastAsia"/>
                <w:sz w:val="20"/>
                <w:szCs w:val="20"/>
              </w:rPr>
              <w:lastRenderedPageBreak/>
              <w:t>9</w:t>
            </w:r>
          </w:p>
        </w:tc>
        <w:tc>
          <w:tcPr>
            <w:tcW w:w="5528" w:type="dxa"/>
          </w:tcPr>
          <w:p w14:paraId="56BB1022" w14:textId="2CD201DC" w:rsidR="0034417C" w:rsidRPr="003B0DCE" w:rsidRDefault="004778DF" w:rsidP="003B0DCE">
            <w:pPr>
              <w:ind w:firstLineChars="100" w:firstLine="200"/>
              <w:rPr>
                <w:sz w:val="20"/>
                <w:szCs w:val="20"/>
              </w:rPr>
            </w:pPr>
            <w:r w:rsidRPr="004778DF">
              <w:rPr>
                <w:rFonts w:hint="eastAsia"/>
                <w:sz w:val="20"/>
                <w:szCs w:val="20"/>
              </w:rPr>
              <w:t>依存症対策の動画が公開停止になったのは、①府としての認識不足だと考えるがどうか？②</w:t>
            </w:r>
            <w:r w:rsidRPr="004778DF">
              <w:rPr>
                <w:sz w:val="20"/>
                <w:szCs w:val="20"/>
              </w:rPr>
              <w:t>700万円もの費用をかけての制作がこうした結果になったのは、組織としてのチェック体制がないのでは？③問題点を公表するのか？</w:t>
            </w:r>
          </w:p>
        </w:tc>
        <w:tc>
          <w:tcPr>
            <w:tcW w:w="9214" w:type="dxa"/>
          </w:tcPr>
          <w:p w14:paraId="77BFF854" w14:textId="3C0BDDD0" w:rsidR="00FC39D8" w:rsidRPr="00B21F05" w:rsidRDefault="00FC39D8" w:rsidP="00C43469">
            <w:pPr>
              <w:ind w:left="1" w:firstLineChars="100" w:firstLine="200"/>
              <w:rPr>
                <w:rFonts w:eastAsiaTheme="minorHAnsi"/>
                <w:color w:val="000000" w:themeColor="text1"/>
                <w:sz w:val="20"/>
                <w:szCs w:val="20"/>
              </w:rPr>
            </w:pPr>
            <w:r w:rsidRPr="00B21F05">
              <w:rPr>
                <w:rFonts w:eastAsiaTheme="minorHAnsi" w:hint="eastAsia"/>
                <w:sz w:val="20"/>
                <w:szCs w:val="20"/>
              </w:rPr>
              <w:t>ギャンブ</w:t>
            </w:r>
            <w:r w:rsidRPr="00B21F05">
              <w:rPr>
                <w:rFonts w:eastAsiaTheme="minorHAnsi" w:hint="eastAsia"/>
                <w:color w:val="000000" w:themeColor="text1"/>
                <w:sz w:val="20"/>
                <w:szCs w:val="20"/>
              </w:rPr>
              <w:t>ル等依存症は、誰でもなり得る病気であると認識のもと、カジノがない現在において喫緊に取り組むべき重要な課題と位置づけ、ＩＲ誘致を契機に、既存のギャンブル等を含め依存症問題に正面から取り組んで</w:t>
            </w:r>
            <w:r w:rsidR="003D3267">
              <w:rPr>
                <w:rFonts w:eastAsiaTheme="minorHAnsi" w:hint="eastAsia"/>
                <w:color w:val="000000" w:themeColor="text1"/>
                <w:sz w:val="20"/>
                <w:szCs w:val="20"/>
              </w:rPr>
              <w:t>い</w:t>
            </w:r>
            <w:r w:rsidRPr="00B21F05">
              <w:rPr>
                <w:rFonts w:eastAsiaTheme="minorHAnsi" w:hint="eastAsia"/>
                <w:color w:val="000000" w:themeColor="text1"/>
                <w:sz w:val="20"/>
                <w:szCs w:val="20"/>
              </w:rPr>
              <w:t>ます。</w:t>
            </w:r>
          </w:p>
          <w:p w14:paraId="1AA69D69" w14:textId="7BCFC930" w:rsidR="00FC39D8" w:rsidRPr="00A43D82" w:rsidRDefault="00FC39D8" w:rsidP="00C43469">
            <w:pPr>
              <w:ind w:firstLineChars="100" w:firstLine="200"/>
              <w:rPr>
                <w:rFonts w:eastAsiaTheme="minorHAnsi"/>
                <w:color w:val="000000" w:themeColor="text1"/>
                <w:sz w:val="20"/>
                <w:szCs w:val="20"/>
                <w:u w:val="single"/>
              </w:rPr>
            </w:pPr>
            <w:r w:rsidRPr="00B22169">
              <w:rPr>
                <w:rFonts w:eastAsiaTheme="minorHAnsi" w:hint="eastAsia"/>
                <w:color w:val="000000" w:themeColor="text1"/>
                <w:sz w:val="20"/>
                <w:szCs w:val="20"/>
              </w:rPr>
              <w:t>啓発動画は高校生や大学生等の若年層をターゲットとし、違法オンラインギャンブル等の啓発を目的に作成しましたが、このたび、</w:t>
            </w:r>
            <w:r w:rsidRPr="00B22169">
              <w:rPr>
                <w:rFonts w:eastAsiaTheme="minorHAnsi"/>
                <w:color w:val="000000" w:themeColor="text1"/>
                <w:sz w:val="20"/>
                <w:szCs w:val="20"/>
              </w:rPr>
              <w:t>SNSにおいて、動画の内容に対する意見が多く寄せられていることから、医療関係者等への意見聴取を行ったうえで、今後の対応について検討するため、動画の公開を一時停止することになりました。</w:t>
            </w:r>
          </w:p>
          <w:p w14:paraId="6166D1D9" w14:textId="261EF009" w:rsidR="00667FD6" w:rsidRPr="00F3576C" w:rsidRDefault="00FC39D8" w:rsidP="00C43469">
            <w:pPr>
              <w:ind w:firstLineChars="100" w:firstLine="200"/>
              <w:rPr>
                <w:rFonts w:eastAsiaTheme="minorHAnsi"/>
                <w:sz w:val="20"/>
                <w:szCs w:val="20"/>
              </w:rPr>
            </w:pPr>
            <w:r w:rsidRPr="00B22169">
              <w:rPr>
                <w:rFonts w:eastAsiaTheme="minorHAnsi" w:hint="eastAsia"/>
                <w:color w:val="000000" w:themeColor="text1"/>
                <w:kern w:val="0"/>
                <w:sz w:val="20"/>
                <w:szCs w:val="20"/>
              </w:rPr>
              <w:t>今後、医療関係者等の意見聴取を行ったうえで、</w:t>
            </w:r>
            <w:r w:rsidR="00B22169" w:rsidRPr="00C43469">
              <w:rPr>
                <w:rFonts w:eastAsiaTheme="minorHAnsi" w:hint="eastAsia"/>
                <w:color w:val="000000" w:themeColor="text1"/>
                <w:kern w:val="0"/>
                <w:sz w:val="20"/>
                <w:szCs w:val="20"/>
              </w:rPr>
              <w:t>この動画の公表については、改めてお知らせします。</w:t>
            </w:r>
          </w:p>
        </w:tc>
      </w:tr>
      <w:tr w:rsidR="0034417C" w14:paraId="37A9AD76" w14:textId="77777777" w:rsidTr="004B31E1">
        <w:trPr>
          <w:trHeight w:val="3386"/>
        </w:trPr>
        <w:tc>
          <w:tcPr>
            <w:tcW w:w="704" w:type="dxa"/>
          </w:tcPr>
          <w:p w14:paraId="5F166B53" w14:textId="12A9F363" w:rsidR="0034417C" w:rsidRDefault="00162646" w:rsidP="000411BF">
            <w:pPr>
              <w:jc w:val="center"/>
              <w:rPr>
                <w:sz w:val="20"/>
                <w:szCs w:val="20"/>
              </w:rPr>
            </w:pPr>
            <w:r>
              <w:rPr>
                <w:rFonts w:hint="eastAsia"/>
                <w:sz w:val="20"/>
                <w:szCs w:val="20"/>
              </w:rPr>
              <w:t>1</w:t>
            </w:r>
            <w:r>
              <w:rPr>
                <w:sz w:val="20"/>
                <w:szCs w:val="20"/>
              </w:rPr>
              <w:t>0</w:t>
            </w:r>
          </w:p>
        </w:tc>
        <w:tc>
          <w:tcPr>
            <w:tcW w:w="5528" w:type="dxa"/>
          </w:tcPr>
          <w:p w14:paraId="7A203760" w14:textId="190BE3CC" w:rsidR="0034417C" w:rsidRDefault="004778DF" w:rsidP="003B0DCE">
            <w:pPr>
              <w:ind w:firstLineChars="100" w:firstLine="200"/>
              <w:rPr>
                <w:sz w:val="20"/>
                <w:szCs w:val="20"/>
              </w:rPr>
            </w:pPr>
            <w:r w:rsidRPr="004778DF">
              <w:rPr>
                <w:rFonts w:hint="eastAsia"/>
                <w:sz w:val="20"/>
                <w:szCs w:val="20"/>
              </w:rPr>
              <w:t>マカオでは常識ですが、マネーローンダリングは常識ですが、今回の説明ではマネーローンダリング対策として関係法令を遵守する内部管理体制を構築</w:t>
            </w:r>
            <w:r>
              <w:rPr>
                <w:rFonts w:hint="eastAsia"/>
                <w:sz w:val="20"/>
                <w:szCs w:val="20"/>
              </w:rPr>
              <w:t>しと</w:t>
            </w:r>
            <w:r w:rsidRPr="004778DF">
              <w:rPr>
                <w:rFonts w:hint="eastAsia"/>
                <w:sz w:val="20"/>
                <w:szCs w:val="20"/>
              </w:rPr>
              <w:t>記載がありますが、一体どうやって内部管理体制を構築するのですか？</w:t>
            </w:r>
          </w:p>
        </w:tc>
        <w:tc>
          <w:tcPr>
            <w:tcW w:w="9214" w:type="dxa"/>
          </w:tcPr>
          <w:p w14:paraId="1670935C" w14:textId="684C905F" w:rsidR="00FC39D8" w:rsidRPr="00FC39D8" w:rsidRDefault="00FC39D8" w:rsidP="00FC39D8">
            <w:pPr>
              <w:ind w:firstLineChars="100" w:firstLine="200"/>
              <w:rPr>
                <w:sz w:val="20"/>
                <w:szCs w:val="20"/>
              </w:rPr>
            </w:pPr>
            <w:r>
              <w:rPr>
                <w:rFonts w:hint="eastAsia"/>
                <w:sz w:val="20"/>
                <w:szCs w:val="20"/>
              </w:rPr>
              <w:t>ＩＲ事業者においては、</w:t>
            </w:r>
            <w:r w:rsidRPr="00FC39D8">
              <w:rPr>
                <w:rFonts w:hint="eastAsia"/>
                <w:sz w:val="20"/>
                <w:szCs w:val="20"/>
              </w:rPr>
              <w:t>ＭＧＭが導入しているマネー・ローンダリング対策をベースに、ＩＲ関係法令等を遵守する内部管理体制を構築するとともに、犯罪収益移転防止規程の作成、従業員の教育訓練等を行</w:t>
            </w:r>
            <w:r>
              <w:rPr>
                <w:rFonts w:hint="eastAsia"/>
                <w:sz w:val="20"/>
                <w:szCs w:val="20"/>
              </w:rPr>
              <w:t>うこととしています。</w:t>
            </w:r>
          </w:p>
          <w:p w14:paraId="40F9511D" w14:textId="1CB14924" w:rsidR="00FC39D8" w:rsidRPr="00DF2341" w:rsidRDefault="00FC39D8" w:rsidP="00FC39D8">
            <w:pPr>
              <w:ind w:firstLineChars="100" w:firstLine="200"/>
              <w:rPr>
                <w:sz w:val="20"/>
                <w:szCs w:val="20"/>
              </w:rPr>
            </w:pPr>
            <w:r>
              <w:rPr>
                <w:rFonts w:hint="eastAsia"/>
                <w:sz w:val="20"/>
                <w:szCs w:val="20"/>
              </w:rPr>
              <w:t>具体的には、</w:t>
            </w:r>
            <w:r w:rsidRPr="00FC39D8">
              <w:rPr>
                <w:rFonts w:hint="eastAsia"/>
                <w:sz w:val="20"/>
                <w:szCs w:val="20"/>
              </w:rPr>
              <w:t>顧客間のチップの譲渡・譲受け、カジノ行為区画外へのチップの持ち出しを防止するため、顧客にこれらの行為を行わない旨の誓約を求めるとともに、カジノ施設における巡回及び監視を行</w:t>
            </w:r>
            <w:r w:rsidR="004B4628" w:rsidRPr="00C43469">
              <w:rPr>
                <w:rFonts w:hint="eastAsia"/>
                <w:sz w:val="20"/>
                <w:szCs w:val="20"/>
              </w:rPr>
              <w:t>います。また、</w:t>
            </w:r>
            <w:r w:rsidRPr="00FC39D8">
              <w:rPr>
                <w:rFonts w:hint="eastAsia"/>
                <w:sz w:val="20"/>
                <w:szCs w:val="20"/>
              </w:rPr>
              <w:t>顧客に対する取引時確認、取引記録の作成・保存等を行うほか、顧客との間で行う</w:t>
            </w:r>
            <w:r w:rsidRPr="00FC39D8">
              <w:rPr>
                <w:sz w:val="20"/>
                <w:szCs w:val="20"/>
              </w:rPr>
              <w:t>10</w:t>
            </w:r>
            <w:r w:rsidRPr="00B21F05">
              <w:rPr>
                <w:rFonts w:eastAsiaTheme="minorHAnsi"/>
                <w:sz w:val="20"/>
                <w:szCs w:val="20"/>
              </w:rPr>
              <w:t>0万円超</w:t>
            </w:r>
            <w:r w:rsidRPr="00B21F05">
              <w:rPr>
                <w:rFonts w:eastAsiaTheme="minorHAnsi" w:hint="eastAsia"/>
                <w:sz w:val="20"/>
                <w:szCs w:val="20"/>
              </w:rPr>
              <w:t>の現金取引や疑わしい取引等について、カジノ管理委員会への届出を行うこととしています。</w:t>
            </w:r>
          </w:p>
        </w:tc>
      </w:tr>
      <w:tr w:rsidR="0034417C" w14:paraId="2D550BE9" w14:textId="77777777" w:rsidTr="004B31E1">
        <w:trPr>
          <w:trHeight w:val="1704"/>
        </w:trPr>
        <w:tc>
          <w:tcPr>
            <w:tcW w:w="704" w:type="dxa"/>
          </w:tcPr>
          <w:p w14:paraId="27EBD2FD" w14:textId="7B2DE3F9" w:rsidR="0034417C" w:rsidRDefault="00220B05" w:rsidP="000411BF">
            <w:pPr>
              <w:jc w:val="center"/>
              <w:rPr>
                <w:sz w:val="20"/>
                <w:szCs w:val="20"/>
              </w:rPr>
            </w:pPr>
            <w:r>
              <w:rPr>
                <w:rFonts w:hint="eastAsia"/>
                <w:sz w:val="20"/>
                <w:szCs w:val="20"/>
              </w:rPr>
              <w:t>1</w:t>
            </w:r>
            <w:r w:rsidR="00162646">
              <w:rPr>
                <w:sz w:val="20"/>
                <w:szCs w:val="20"/>
              </w:rPr>
              <w:t>1</w:t>
            </w:r>
          </w:p>
        </w:tc>
        <w:tc>
          <w:tcPr>
            <w:tcW w:w="5528" w:type="dxa"/>
          </w:tcPr>
          <w:p w14:paraId="1D09F433" w14:textId="7E26B98B" w:rsidR="0034417C" w:rsidRDefault="004778DF" w:rsidP="003B0DCE">
            <w:pPr>
              <w:ind w:firstLineChars="100" w:firstLine="200"/>
              <w:rPr>
                <w:sz w:val="20"/>
                <w:szCs w:val="20"/>
              </w:rPr>
            </w:pPr>
            <w:r w:rsidRPr="004778DF">
              <w:rPr>
                <w:rFonts w:hint="eastAsia"/>
                <w:sz w:val="20"/>
                <w:szCs w:val="20"/>
              </w:rPr>
              <w:t>ディーラーは日本人のみの採用ですか？</w:t>
            </w:r>
            <w:r w:rsidR="00572258">
              <w:rPr>
                <w:sz w:val="20"/>
                <w:szCs w:val="20"/>
              </w:rPr>
              <w:t xml:space="preserve"> </w:t>
            </w:r>
          </w:p>
        </w:tc>
        <w:tc>
          <w:tcPr>
            <w:tcW w:w="9214" w:type="dxa"/>
          </w:tcPr>
          <w:p w14:paraId="21EA1C86" w14:textId="4C565388" w:rsidR="0034417C" w:rsidRPr="00216053" w:rsidRDefault="002F3412" w:rsidP="00C45DDF">
            <w:pPr>
              <w:ind w:firstLineChars="100" w:firstLine="200"/>
              <w:rPr>
                <w:sz w:val="20"/>
                <w:szCs w:val="20"/>
              </w:rPr>
            </w:pPr>
            <w:r w:rsidRPr="002F3412">
              <w:rPr>
                <w:rFonts w:hint="eastAsia"/>
                <w:sz w:val="20"/>
                <w:szCs w:val="20"/>
              </w:rPr>
              <w:t>ディーラーについては、ディーラースクールの卒業生と海外で働く日本人ディーラーを中心に採用し、教育する方針であり、日本では新しく、また、カジノ運営に重要な職種であることから、ディーラースクールと適宜提携しながら、人材確保と教育プログラムの強化に取り組むこととしています。</w:t>
            </w:r>
          </w:p>
        </w:tc>
      </w:tr>
      <w:tr w:rsidR="0034417C" w14:paraId="1D6AB96D" w14:textId="77777777" w:rsidTr="0034417C">
        <w:trPr>
          <w:trHeight w:val="359"/>
        </w:trPr>
        <w:tc>
          <w:tcPr>
            <w:tcW w:w="704" w:type="dxa"/>
          </w:tcPr>
          <w:p w14:paraId="4857F8BE" w14:textId="67E2FC0A" w:rsidR="0034417C" w:rsidRDefault="0034417C" w:rsidP="000411BF">
            <w:pPr>
              <w:jc w:val="center"/>
              <w:rPr>
                <w:sz w:val="20"/>
                <w:szCs w:val="20"/>
              </w:rPr>
            </w:pPr>
            <w:r>
              <w:rPr>
                <w:rFonts w:hint="eastAsia"/>
                <w:sz w:val="20"/>
                <w:szCs w:val="20"/>
              </w:rPr>
              <w:lastRenderedPageBreak/>
              <w:t>1</w:t>
            </w:r>
            <w:r w:rsidR="00162646">
              <w:rPr>
                <w:sz w:val="20"/>
                <w:szCs w:val="20"/>
              </w:rPr>
              <w:t>2</w:t>
            </w:r>
          </w:p>
        </w:tc>
        <w:tc>
          <w:tcPr>
            <w:tcW w:w="5528" w:type="dxa"/>
          </w:tcPr>
          <w:p w14:paraId="71EE78A6" w14:textId="168659DE" w:rsidR="0034417C" w:rsidRDefault="004778DF" w:rsidP="003B0DCE">
            <w:pPr>
              <w:ind w:firstLineChars="100" w:firstLine="200"/>
              <w:rPr>
                <w:sz w:val="20"/>
                <w:szCs w:val="20"/>
              </w:rPr>
            </w:pPr>
            <w:r w:rsidRPr="004778DF">
              <w:rPr>
                <w:rFonts w:hint="eastAsia"/>
                <w:sz w:val="20"/>
                <w:szCs w:val="20"/>
              </w:rPr>
              <w:t>ＭＧＭはジャンケットという制度をＶＩＰ向けに採用されるのですか？</w:t>
            </w:r>
          </w:p>
        </w:tc>
        <w:tc>
          <w:tcPr>
            <w:tcW w:w="9214" w:type="dxa"/>
          </w:tcPr>
          <w:p w14:paraId="229529BE" w14:textId="02F57C66" w:rsidR="00385C8F" w:rsidRPr="001D6381" w:rsidRDefault="00385C8F" w:rsidP="00385C8F">
            <w:pPr>
              <w:ind w:firstLineChars="100" w:firstLine="200"/>
              <w:rPr>
                <w:sz w:val="20"/>
                <w:szCs w:val="20"/>
              </w:rPr>
            </w:pPr>
            <w:r w:rsidRPr="001D6381">
              <w:rPr>
                <w:rFonts w:hint="eastAsia"/>
                <w:sz w:val="20"/>
                <w:szCs w:val="20"/>
              </w:rPr>
              <w:t>いわゆる「ジャンケット」については、カジノ管理委員会</w:t>
            </w:r>
            <w:r w:rsidR="003514AF">
              <w:rPr>
                <w:rFonts w:hint="eastAsia"/>
                <w:sz w:val="20"/>
                <w:szCs w:val="20"/>
              </w:rPr>
              <w:t>ホームページ</w:t>
            </w:r>
            <w:r w:rsidRPr="001D6381">
              <w:rPr>
                <w:sz w:val="20"/>
                <w:szCs w:val="20"/>
              </w:rPr>
              <w:t>の「カジノ管理委員会関係特定複合観光施設区域整備法施</w:t>
            </w:r>
            <w:r w:rsidRPr="001D6381">
              <w:rPr>
                <w:rFonts w:hint="eastAsia"/>
                <w:sz w:val="20"/>
                <w:szCs w:val="20"/>
              </w:rPr>
              <w:t>⾏規則案に関する意⾒の概要及びそれに対するカジノ管理委員会の考え⽅」において、次のとおり見解</w:t>
            </w:r>
            <w:r w:rsidR="00667FD6" w:rsidRPr="00C43469">
              <w:rPr>
                <w:rFonts w:hint="eastAsia"/>
                <w:sz w:val="20"/>
                <w:szCs w:val="20"/>
              </w:rPr>
              <w:t>が示されて</w:t>
            </w:r>
            <w:r w:rsidR="003D3267">
              <w:rPr>
                <w:rFonts w:hint="eastAsia"/>
                <w:sz w:val="20"/>
                <w:szCs w:val="20"/>
              </w:rPr>
              <w:t>い</w:t>
            </w:r>
            <w:r w:rsidR="00667FD6" w:rsidRPr="00C43469">
              <w:rPr>
                <w:rFonts w:hint="eastAsia"/>
                <w:sz w:val="20"/>
                <w:szCs w:val="20"/>
              </w:rPr>
              <w:t>ます。</w:t>
            </w:r>
          </w:p>
          <w:p w14:paraId="4F6F3131" w14:textId="77777777" w:rsidR="00385C8F" w:rsidRPr="001D6381" w:rsidRDefault="00385C8F" w:rsidP="00385C8F">
            <w:pPr>
              <w:ind w:firstLineChars="100" w:firstLine="200"/>
              <w:rPr>
                <w:sz w:val="20"/>
                <w:szCs w:val="20"/>
              </w:rPr>
            </w:pPr>
            <w:r w:rsidRPr="001D6381">
              <w:rPr>
                <w:rFonts w:hint="eastAsia"/>
                <w:sz w:val="20"/>
                <w:szCs w:val="20"/>
              </w:rPr>
              <w:t>・いわゆる「ジャンケット」等と呼ばれる業者の業態は必ずしも⼀様ではありませんが、例えば、</w:t>
            </w:r>
          </w:p>
          <w:p w14:paraId="64975A29" w14:textId="021C012F" w:rsidR="00385C8F" w:rsidRPr="001D6381" w:rsidRDefault="00385C8F" w:rsidP="00385C8F">
            <w:pPr>
              <w:ind w:leftChars="200" w:left="420"/>
              <w:rPr>
                <w:sz w:val="20"/>
                <w:szCs w:val="20"/>
              </w:rPr>
            </w:pPr>
            <w:r w:rsidRPr="001D6381">
              <w:rPr>
                <w:rFonts w:hint="eastAsia"/>
                <w:sz w:val="20"/>
                <w:szCs w:val="20"/>
              </w:rPr>
              <w:t>カジノ事業者からカジノフロアの⼀部を借り受け、顧客にカジノ⾏為を⾏わせるような業態は、カジノ事業免許の趣旨を没却させることとなるため、法においては諸外国において「ジャンケット」等が⾏っている⾏為についてカジノ事業者に対する個別の規制を設けており、例えばカジノ⾏為業務の委託やカジノ施設におけるカジノ事業者以外の者による貸付けは認めないこととしています。</w:t>
            </w:r>
          </w:p>
        </w:tc>
      </w:tr>
      <w:tr w:rsidR="00233711" w14:paraId="7B18E945" w14:textId="77777777" w:rsidTr="0034417C">
        <w:trPr>
          <w:trHeight w:val="359"/>
        </w:trPr>
        <w:tc>
          <w:tcPr>
            <w:tcW w:w="704" w:type="dxa"/>
          </w:tcPr>
          <w:p w14:paraId="757F2FCA" w14:textId="4AD63766" w:rsidR="00233711" w:rsidRDefault="00233711" w:rsidP="000411BF">
            <w:pPr>
              <w:jc w:val="center"/>
              <w:rPr>
                <w:sz w:val="20"/>
                <w:szCs w:val="20"/>
              </w:rPr>
            </w:pPr>
            <w:r>
              <w:rPr>
                <w:rFonts w:hint="eastAsia"/>
                <w:sz w:val="20"/>
                <w:szCs w:val="20"/>
              </w:rPr>
              <w:t>1</w:t>
            </w:r>
            <w:r>
              <w:rPr>
                <w:sz w:val="20"/>
                <w:szCs w:val="20"/>
              </w:rPr>
              <w:t>3</w:t>
            </w:r>
          </w:p>
        </w:tc>
        <w:tc>
          <w:tcPr>
            <w:tcW w:w="5528" w:type="dxa"/>
          </w:tcPr>
          <w:p w14:paraId="2B594D90" w14:textId="6E8DF64D" w:rsidR="00233711" w:rsidRPr="00162646" w:rsidRDefault="004778DF" w:rsidP="003B0DCE">
            <w:pPr>
              <w:ind w:firstLineChars="100" w:firstLine="200"/>
              <w:rPr>
                <w:sz w:val="20"/>
                <w:szCs w:val="20"/>
              </w:rPr>
            </w:pPr>
            <w:r w:rsidRPr="004778DF">
              <w:rPr>
                <w:rFonts w:hint="eastAsia"/>
                <w:sz w:val="20"/>
                <w:szCs w:val="20"/>
              </w:rPr>
              <w:t>広告について、もっと詳しく説明してください（カジノ管理委員会任せですか？勧誘規制、ビラ禁止だけですか？）</w:t>
            </w:r>
          </w:p>
        </w:tc>
        <w:tc>
          <w:tcPr>
            <w:tcW w:w="9214" w:type="dxa"/>
          </w:tcPr>
          <w:p w14:paraId="1C015B51" w14:textId="37B1DE7D" w:rsidR="00385C8F" w:rsidRPr="00B21F05" w:rsidRDefault="00385C8F" w:rsidP="00C41EBC">
            <w:pPr>
              <w:ind w:firstLineChars="100" w:firstLine="200"/>
              <w:rPr>
                <w:rFonts w:eastAsiaTheme="minorHAnsi"/>
                <w:sz w:val="20"/>
                <w:szCs w:val="20"/>
              </w:rPr>
            </w:pPr>
            <w:r w:rsidRPr="00B21F05">
              <w:rPr>
                <w:rFonts w:eastAsiaTheme="minorHAnsi" w:hint="eastAsia"/>
                <w:sz w:val="20"/>
                <w:szCs w:val="20"/>
              </w:rPr>
              <w:t>カジノ事業に関する広告を行う際は、</w:t>
            </w:r>
            <w:r w:rsidR="00C41EBC" w:rsidRPr="00B21F05">
              <w:rPr>
                <w:rFonts w:eastAsiaTheme="minorHAnsi" w:hint="eastAsia"/>
                <w:sz w:val="20"/>
                <w:szCs w:val="20"/>
              </w:rPr>
              <w:t>ＩＲ関係法令等に基づき、</w:t>
            </w:r>
            <w:r w:rsidRPr="00B21F05">
              <w:rPr>
                <w:rFonts w:eastAsiaTheme="minorHAnsi" w:hint="eastAsia"/>
                <w:sz w:val="20"/>
                <w:szCs w:val="20"/>
              </w:rPr>
              <w:t>カジノ行為にのめり込むことにより日常生活又は社会生活に支障が生じるおそれがある旨を表示・説明するとともに、ＩＲ区域外では、カジノ事業に関する広告物を表示しないこととして</w:t>
            </w:r>
            <w:r w:rsidR="003D3267">
              <w:rPr>
                <w:rFonts w:eastAsiaTheme="minorHAnsi" w:hint="eastAsia"/>
                <w:sz w:val="20"/>
                <w:szCs w:val="20"/>
              </w:rPr>
              <w:t>い</w:t>
            </w:r>
            <w:r w:rsidRPr="00B21F05">
              <w:rPr>
                <w:rFonts w:eastAsiaTheme="minorHAnsi" w:hint="eastAsia"/>
                <w:sz w:val="20"/>
                <w:szCs w:val="20"/>
              </w:rPr>
              <w:t>ます。</w:t>
            </w:r>
          </w:p>
        </w:tc>
      </w:tr>
      <w:tr w:rsidR="00747CA1" w14:paraId="7B64B8BA" w14:textId="77777777" w:rsidTr="0034417C">
        <w:trPr>
          <w:trHeight w:val="359"/>
        </w:trPr>
        <w:tc>
          <w:tcPr>
            <w:tcW w:w="704" w:type="dxa"/>
          </w:tcPr>
          <w:p w14:paraId="3CDF2DFF" w14:textId="02CB04F9" w:rsidR="00747CA1" w:rsidRDefault="00233711" w:rsidP="000411BF">
            <w:pPr>
              <w:jc w:val="center"/>
              <w:rPr>
                <w:sz w:val="20"/>
                <w:szCs w:val="20"/>
              </w:rPr>
            </w:pPr>
            <w:r>
              <w:rPr>
                <w:sz w:val="20"/>
                <w:szCs w:val="20"/>
              </w:rPr>
              <w:t>14</w:t>
            </w:r>
          </w:p>
          <w:p w14:paraId="636BBE92" w14:textId="16E07B19" w:rsidR="00747CA1" w:rsidRDefault="00747CA1" w:rsidP="000411BF">
            <w:pPr>
              <w:jc w:val="center"/>
              <w:rPr>
                <w:sz w:val="20"/>
                <w:szCs w:val="20"/>
              </w:rPr>
            </w:pPr>
          </w:p>
        </w:tc>
        <w:tc>
          <w:tcPr>
            <w:tcW w:w="5528" w:type="dxa"/>
          </w:tcPr>
          <w:p w14:paraId="377AD290" w14:textId="2B7257E9" w:rsidR="00747CA1" w:rsidRPr="003B0DCE" w:rsidRDefault="004778DF" w:rsidP="003B0DCE">
            <w:pPr>
              <w:ind w:firstLineChars="100" w:firstLine="200"/>
              <w:rPr>
                <w:sz w:val="20"/>
                <w:szCs w:val="20"/>
              </w:rPr>
            </w:pPr>
            <w:r>
              <w:rPr>
                <w:rFonts w:hint="eastAsia"/>
                <w:sz w:val="20"/>
                <w:szCs w:val="20"/>
              </w:rPr>
              <w:t>ＪＲ</w:t>
            </w:r>
            <w:r w:rsidRPr="004778DF">
              <w:rPr>
                <w:sz w:val="20"/>
                <w:szCs w:val="20"/>
              </w:rPr>
              <w:t>東海にも株主になってもらうべきではないでしょうか？</w:t>
            </w:r>
          </w:p>
        </w:tc>
        <w:tc>
          <w:tcPr>
            <w:tcW w:w="9214" w:type="dxa"/>
          </w:tcPr>
          <w:p w14:paraId="7DECAAE3" w14:textId="78B8BC8F" w:rsidR="00747CA1" w:rsidRPr="00B21F05" w:rsidRDefault="002F3412" w:rsidP="00C45DDF">
            <w:pPr>
              <w:ind w:firstLineChars="100" w:firstLine="200"/>
              <w:rPr>
                <w:rFonts w:eastAsiaTheme="minorHAnsi"/>
                <w:sz w:val="20"/>
                <w:szCs w:val="20"/>
              </w:rPr>
            </w:pPr>
            <w:r w:rsidRPr="00B21F05">
              <w:rPr>
                <w:rFonts w:eastAsiaTheme="minorHAnsi" w:hint="eastAsia"/>
                <w:sz w:val="20"/>
                <w:szCs w:val="20"/>
              </w:rPr>
              <w:t>大阪ＩＲの事業者であるＭＧＭ大阪株式会社の構成員は、中核株主となる合同会社日本ＭＧＭリゾーツとオリックス株式会社、そして関西の地元企業を中心とする少数株主2</w:t>
            </w:r>
            <w:r w:rsidRPr="00B21F05">
              <w:rPr>
                <w:rFonts w:eastAsiaTheme="minorHAnsi"/>
                <w:sz w:val="20"/>
                <w:szCs w:val="20"/>
              </w:rPr>
              <w:t>2</w:t>
            </w:r>
            <w:r w:rsidRPr="00B21F05">
              <w:rPr>
                <w:rFonts w:eastAsiaTheme="minorHAnsi" w:hint="eastAsia"/>
                <w:sz w:val="20"/>
                <w:szCs w:val="20"/>
              </w:rPr>
              <w:t>社から構成されていますが、</w:t>
            </w:r>
            <w:r w:rsidRPr="00ED5381">
              <w:rPr>
                <w:rFonts w:eastAsiaTheme="minorHAnsi" w:hint="eastAsia"/>
                <w:sz w:val="20"/>
                <w:szCs w:val="20"/>
              </w:rPr>
              <w:t>その構成については、事業者で検討の上で判断されるものと認識しています。</w:t>
            </w:r>
          </w:p>
        </w:tc>
      </w:tr>
      <w:tr w:rsidR="0034417C" w14:paraId="3FDCEB1F" w14:textId="77777777" w:rsidTr="0034417C">
        <w:trPr>
          <w:trHeight w:val="359"/>
        </w:trPr>
        <w:tc>
          <w:tcPr>
            <w:tcW w:w="704" w:type="dxa"/>
          </w:tcPr>
          <w:p w14:paraId="7ECA626B" w14:textId="77B202CC" w:rsidR="0034417C" w:rsidRDefault="00233711" w:rsidP="000411BF">
            <w:pPr>
              <w:jc w:val="center"/>
              <w:rPr>
                <w:sz w:val="20"/>
                <w:szCs w:val="20"/>
              </w:rPr>
            </w:pPr>
            <w:r>
              <w:rPr>
                <w:sz w:val="20"/>
                <w:szCs w:val="20"/>
              </w:rPr>
              <w:t>15</w:t>
            </w:r>
          </w:p>
        </w:tc>
        <w:tc>
          <w:tcPr>
            <w:tcW w:w="5528" w:type="dxa"/>
          </w:tcPr>
          <w:p w14:paraId="352E8C25" w14:textId="2D4DFBA9" w:rsidR="0034417C" w:rsidRPr="00162646" w:rsidRDefault="004778DF" w:rsidP="00162646">
            <w:pPr>
              <w:rPr>
                <w:sz w:val="20"/>
                <w:szCs w:val="20"/>
              </w:rPr>
            </w:pPr>
            <w:r>
              <w:rPr>
                <w:rFonts w:hint="eastAsia"/>
                <w:sz w:val="20"/>
                <w:szCs w:val="20"/>
              </w:rPr>
              <w:t xml:space="preserve">　</w:t>
            </w:r>
            <w:r w:rsidRPr="004778DF">
              <w:rPr>
                <w:rFonts w:hint="eastAsia"/>
                <w:sz w:val="20"/>
                <w:szCs w:val="20"/>
              </w:rPr>
              <w:t>リニア中央新幹線を直接ＩＲに入れるべきだと思います。在来線、新大阪～桜島～夢洲とは別にアクセスを充実させるべきではないですか？</w:t>
            </w:r>
          </w:p>
        </w:tc>
        <w:tc>
          <w:tcPr>
            <w:tcW w:w="9214" w:type="dxa"/>
          </w:tcPr>
          <w:p w14:paraId="25011A5E" w14:textId="25C753AA" w:rsidR="00F912DE" w:rsidRPr="008530E0" w:rsidRDefault="00F912DE" w:rsidP="00F912DE">
            <w:pPr>
              <w:ind w:firstLineChars="100" w:firstLine="200"/>
              <w:rPr>
                <w:sz w:val="20"/>
                <w:szCs w:val="20"/>
              </w:rPr>
            </w:pPr>
            <w:r w:rsidRPr="001D6381">
              <w:rPr>
                <w:rFonts w:hint="eastAsia"/>
                <w:sz w:val="20"/>
                <w:szCs w:val="20"/>
              </w:rPr>
              <w:t>リニア中央新幹線は、全国新幹線鉄道整備法に基づいて計画された、東京都を起点、大阪市を終点とする新幹線鉄道であり、ＪＲ東海（東海旅客鉄道株式会社）が建設主体となっています。</w:t>
            </w:r>
          </w:p>
          <w:p w14:paraId="55C34939" w14:textId="2FE62002" w:rsidR="00DF2341" w:rsidRPr="00216053" w:rsidRDefault="00667FD6" w:rsidP="00F912DE">
            <w:pPr>
              <w:ind w:firstLineChars="100" w:firstLine="200"/>
              <w:rPr>
                <w:sz w:val="20"/>
                <w:szCs w:val="20"/>
              </w:rPr>
            </w:pPr>
            <w:r w:rsidRPr="00C43469">
              <w:rPr>
                <w:rFonts w:hint="eastAsia"/>
                <w:sz w:val="20"/>
                <w:szCs w:val="20"/>
              </w:rPr>
              <w:t>なお、</w:t>
            </w:r>
            <w:r w:rsidR="00F912DE" w:rsidRPr="00F912DE">
              <w:rPr>
                <w:rFonts w:hint="eastAsia"/>
                <w:sz w:val="20"/>
                <w:szCs w:val="20"/>
              </w:rPr>
              <w:t>市中心部から夢洲への鉄道アクセスとしては、令和７年１月に大阪メトロ中央線を延伸し、夢洲駅が開業しています。また、更なる鉄道アクセスとして、ＪＲ桜島線延伸（桜島～舞洲～夢洲）や京阪中之島線延伸（中之島～九条）の検討を行っており、今後、建設計画や運行計画等の検討の深度化</w:t>
            </w:r>
            <w:r w:rsidRPr="00C43469">
              <w:rPr>
                <w:rFonts w:hint="eastAsia"/>
                <w:sz w:val="20"/>
                <w:szCs w:val="20"/>
              </w:rPr>
              <w:t>が図られる</w:t>
            </w:r>
            <w:r w:rsidR="00F912DE" w:rsidRPr="00F912DE">
              <w:rPr>
                <w:rFonts w:hint="eastAsia"/>
                <w:sz w:val="20"/>
                <w:szCs w:val="20"/>
              </w:rPr>
              <w:t>予定です。</w:t>
            </w:r>
          </w:p>
        </w:tc>
      </w:tr>
      <w:tr w:rsidR="0034417C" w14:paraId="58958AAC" w14:textId="77777777" w:rsidTr="0034417C">
        <w:trPr>
          <w:trHeight w:val="359"/>
        </w:trPr>
        <w:tc>
          <w:tcPr>
            <w:tcW w:w="704" w:type="dxa"/>
          </w:tcPr>
          <w:p w14:paraId="0A239DC0" w14:textId="55CAEB53" w:rsidR="0034417C" w:rsidRDefault="00233711" w:rsidP="000411BF">
            <w:pPr>
              <w:jc w:val="center"/>
              <w:rPr>
                <w:sz w:val="20"/>
                <w:szCs w:val="20"/>
              </w:rPr>
            </w:pPr>
            <w:r>
              <w:rPr>
                <w:sz w:val="20"/>
                <w:szCs w:val="20"/>
              </w:rPr>
              <w:t>16</w:t>
            </w:r>
          </w:p>
        </w:tc>
        <w:tc>
          <w:tcPr>
            <w:tcW w:w="5528" w:type="dxa"/>
          </w:tcPr>
          <w:p w14:paraId="136775B7" w14:textId="4A00514A" w:rsidR="00AA2514" w:rsidRPr="00663D24" w:rsidRDefault="00DE78D2" w:rsidP="00663D24">
            <w:pPr>
              <w:ind w:firstLineChars="100" w:firstLine="200"/>
              <w:rPr>
                <w:sz w:val="20"/>
                <w:szCs w:val="20"/>
              </w:rPr>
            </w:pPr>
            <w:r w:rsidRPr="00DE78D2">
              <w:rPr>
                <w:rFonts w:hint="eastAsia"/>
                <w:sz w:val="20"/>
                <w:szCs w:val="20"/>
              </w:rPr>
              <w:t>ＩＲの工事見学会はできませんか？</w:t>
            </w:r>
          </w:p>
        </w:tc>
        <w:tc>
          <w:tcPr>
            <w:tcW w:w="9214" w:type="dxa"/>
          </w:tcPr>
          <w:p w14:paraId="031BB258" w14:textId="0989129C" w:rsidR="0034417C" w:rsidRPr="00503C3E" w:rsidRDefault="002F3412" w:rsidP="00C45DDF">
            <w:pPr>
              <w:ind w:firstLineChars="100" w:firstLine="200"/>
              <w:rPr>
                <w:sz w:val="20"/>
                <w:szCs w:val="20"/>
              </w:rPr>
            </w:pPr>
            <w:r w:rsidRPr="00503C3E">
              <w:rPr>
                <w:rFonts w:hint="eastAsia"/>
                <w:sz w:val="20"/>
                <w:szCs w:val="20"/>
              </w:rPr>
              <w:t>ＩＲの</w:t>
            </w:r>
            <w:r w:rsidRPr="00503C3E">
              <w:rPr>
                <w:sz w:val="20"/>
                <w:szCs w:val="20"/>
              </w:rPr>
              <w:t>工事現場への</w:t>
            </w:r>
            <w:r w:rsidRPr="00503C3E">
              <w:rPr>
                <w:rFonts w:hint="eastAsia"/>
                <w:sz w:val="20"/>
                <w:szCs w:val="20"/>
              </w:rPr>
              <w:t>見学</w:t>
            </w:r>
            <w:r w:rsidRPr="00503C3E">
              <w:rPr>
                <w:sz w:val="20"/>
                <w:szCs w:val="20"/>
              </w:rPr>
              <w:t>については、ＩＲは民設民営事業であって、民間事業者による建設工事であること、現場の安全管理やセキュリティ対策、工事工程への影響といった観点から受入対応は行って</w:t>
            </w:r>
            <w:r w:rsidRPr="00503C3E">
              <w:rPr>
                <w:rFonts w:hint="eastAsia"/>
                <w:sz w:val="20"/>
                <w:szCs w:val="20"/>
              </w:rPr>
              <w:t>おりません。</w:t>
            </w:r>
          </w:p>
        </w:tc>
      </w:tr>
      <w:tr w:rsidR="00DE78D2" w:rsidRPr="00475B32" w14:paraId="0C0D1A24" w14:textId="77777777" w:rsidTr="004B31E1">
        <w:trPr>
          <w:trHeight w:val="2911"/>
        </w:trPr>
        <w:tc>
          <w:tcPr>
            <w:tcW w:w="704" w:type="dxa"/>
          </w:tcPr>
          <w:p w14:paraId="6A4ADF80" w14:textId="0461A7CB" w:rsidR="00DE78D2" w:rsidRDefault="00DE78D2" w:rsidP="000411BF">
            <w:pPr>
              <w:jc w:val="center"/>
              <w:rPr>
                <w:sz w:val="20"/>
                <w:szCs w:val="20"/>
              </w:rPr>
            </w:pPr>
            <w:r>
              <w:rPr>
                <w:rFonts w:hint="eastAsia"/>
                <w:sz w:val="20"/>
                <w:szCs w:val="20"/>
              </w:rPr>
              <w:lastRenderedPageBreak/>
              <w:t>1</w:t>
            </w:r>
            <w:r w:rsidR="00F23665">
              <w:rPr>
                <w:sz w:val="20"/>
                <w:szCs w:val="20"/>
              </w:rPr>
              <w:t>7</w:t>
            </w:r>
          </w:p>
        </w:tc>
        <w:tc>
          <w:tcPr>
            <w:tcW w:w="5528" w:type="dxa"/>
          </w:tcPr>
          <w:p w14:paraId="556D2A35" w14:textId="474989B1" w:rsidR="00DE78D2" w:rsidRPr="00162646" w:rsidRDefault="002A6D1A" w:rsidP="00663D24">
            <w:pPr>
              <w:ind w:firstLineChars="100" w:firstLine="200"/>
              <w:rPr>
                <w:sz w:val="20"/>
                <w:szCs w:val="20"/>
              </w:rPr>
            </w:pPr>
            <w:r w:rsidRPr="002A6D1A">
              <w:rPr>
                <w:rFonts w:hint="eastAsia"/>
                <w:sz w:val="20"/>
                <w:szCs w:val="20"/>
              </w:rPr>
              <w:t>ギャンブル依存症対策でセンターを設置されるようですが、専用施設は作られるのか？（医療機関への紹介だけでなく）</w:t>
            </w:r>
          </w:p>
        </w:tc>
        <w:tc>
          <w:tcPr>
            <w:tcW w:w="9214" w:type="dxa"/>
          </w:tcPr>
          <w:p w14:paraId="672A79CD" w14:textId="7767FEF9" w:rsidR="008B6FD6" w:rsidRPr="00B21F05" w:rsidRDefault="008B6FD6" w:rsidP="00F912DE">
            <w:pPr>
              <w:ind w:firstLineChars="100" w:firstLine="200"/>
              <w:rPr>
                <w:sz w:val="20"/>
                <w:szCs w:val="20"/>
              </w:rPr>
            </w:pPr>
            <w:r w:rsidRPr="00B21F05">
              <w:rPr>
                <w:rFonts w:hint="eastAsia"/>
                <w:sz w:val="20"/>
                <w:szCs w:val="20"/>
              </w:rPr>
              <w:t>「（仮称）大阪依存症対策センター」においては、ギャンブル等依存症のリスクがある者に対して、それぞれの背景や事情に寄り添い、社会的な問題に包括的に対応できる体制を構築して、医療、福祉、司法や民間支援団体等につなぐ役割を担っています。</w:t>
            </w:r>
          </w:p>
          <w:p w14:paraId="57F924FE" w14:textId="2A66AF1D" w:rsidR="00307689" w:rsidRPr="00B21F05" w:rsidRDefault="008B6FD6" w:rsidP="008B6FD6">
            <w:pPr>
              <w:ind w:firstLineChars="100" w:firstLine="200"/>
              <w:rPr>
                <w:sz w:val="20"/>
                <w:szCs w:val="20"/>
              </w:rPr>
            </w:pPr>
            <w:r w:rsidRPr="00B21F05">
              <w:rPr>
                <w:rFonts w:hint="eastAsia"/>
                <w:sz w:val="20"/>
                <w:szCs w:val="20"/>
              </w:rPr>
              <w:t>また、無関心層にも将来のリスクに備え、相談しやすい雰囲気づくりや、来所しやすくなる相談・医療・回復へのワンストップ支援や普及啓発・情報発信などの分かりやすいコンテンツを準備するなどして、府民が利用しやすいセンターをめざしています。</w:t>
            </w:r>
          </w:p>
        </w:tc>
      </w:tr>
      <w:tr w:rsidR="00DE78D2" w14:paraId="2555E059" w14:textId="77777777" w:rsidTr="004B31E1">
        <w:trPr>
          <w:trHeight w:val="3816"/>
        </w:trPr>
        <w:tc>
          <w:tcPr>
            <w:tcW w:w="704" w:type="dxa"/>
          </w:tcPr>
          <w:p w14:paraId="05D6A934" w14:textId="0184A791" w:rsidR="00DE78D2" w:rsidRDefault="00DE78D2" w:rsidP="000411BF">
            <w:pPr>
              <w:jc w:val="center"/>
              <w:rPr>
                <w:sz w:val="20"/>
                <w:szCs w:val="20"/>
              </w:rPr>
            </w:pPr>
            <w:r>
              <w:rPr>
                <w:rFonts w:hint="eastAsia"/>
                <w:sz w:val="20"/>
                <w:szCs w:val="20"/>
              </w:rPr>
              <w:t>1</w:t>
            </w:r>
            <w:r w:rsidR="00F23665">
              <w:rPr>
                <w:sz w:val="20"/>
                <w:szCs w:val="20"/>
              </w:rPr>
              <w:t>8</w:t>
            </w:r>
          </w:p>
        </w:tc>
        <w:tc>
          <w:tcPr>
            <w:tcW w:w="5528" w:type="dxa"/>
          </w:tcPr>
          <w:p w14:paraId="1725F61A" w14:textId="12FBE394" w:rsidR="00DE78D2" w:rsidRPr="00162646" w:rsidRDefault="002A6D1A" w:rsidP="00663D24">
            <w:pPr>
              <w:ind w:firstLineChars="100" w:firstLine="200"/>
              <w:rPr>
                <w:sz w:val="20"/>
                <w:szCs w:val="20"/>
              </w:rPr>
            </w:pPr>
            <w:r w:rsidRPr="002A6D1A">
              <w:rPr>
                <w:sz w:val="20"/>
                <w:szCs w:val="20"/>
              </w:rPr>
              <w:t>2025年の訪日外国人が最多であったということだが、カジノが無くても人が来るということです。カジノ目当てに来る人は、本当に5,200億円も負けてくれるか？</w:t>
            </w:r>
          </w:p>
        </w:tc>
        <w:tc>
          <w:tcPr>
            <w:tcW w:w="9214" w:type="dxa"/>
          </w:tcPr>
          <w:p w14:paraId="24FF45C4" w14:textId="77777777" w:rsidR="00D87BBD" w:rsidRPr="00B21F05" w:rsidRDefault="00D87BBD" w:rsidP="00D87BBD">
            <w:pPr>
              <w:ind w:firstLineChars="100" w:firstLine="200"/>
              <w:rPr>
                <w:sz w:val="20"/>
                <w:szCs w:val="20"/>
              </w:rPr>
            </w:pPr>
            <w:r w:rsidRPr="00B21F05">
              <w:rPr>
                <w:rFonts w:hint="eastAsia"/>
                <w:sz w:val="20"/>
                <w:szCs w:val="20"/>
              </w:rPr>
              <w:t>ＩＲは、民設民営事業として、ＭＧＭ・オリックスの中核企業２社に加えて、大阪・関西を中心とした企業</w:t>
            </w:r>
            <w:r w:rsidRPr="00B21F05">
              <w:rPr>
                <w:sz w:val="20"/>
                <w:szCs w:val="20"/>
              </w:rPr>
              <w:t>22社が自らの出資や金融機関からの借入れにより資金調達を行い、リスクを負って１兆円を超える投資を行うものであり、事業計画の立案にあたっても、慎重に検討・精査されているものと認識</w:t>
            </w:r>
            <w:r w:rsidRPr="00B21F05">
              <w:rPr>
                <w:rFonts w:hint="eastAsia"/>
                <w:sz w:val="20"/>
                <w:szCs w:val="20"/>
              </w:rPr>
              <w:t>しています。</w:t>
            </w:r>
          </w:p>
          <w:p w14:paraId="38148962" w14:textId="13E98B56" w:rsidR="00D87BBD" w:rsidRPr="00B21F05" w:rsidRDefault="00D87BBD" w:rsidP="00D87BBD">
            <w:pPr>
              <w:ind w:firstLineChars="100" w:firstLine="200"/>
              <w:rPr>
                <w:sz w:val="20"/>
                <w:szCs w:val="20"/>
              </w:rPr>
            </w:pPr>
            <w:r w:rsidRPr="00B21F05">
              <w:rPr>
                <w:rFonts w:hint="eastAsia"/>
                <w:sz w:val="20"/>
                <w:szCs w:val="20"/>
              </w:rPr>
              <w:t>来訪者数等の効果推計については、ＩＲ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です。</w:t>
            </w:r>
          </w:p>
          <w:p w14:paraId="265EFE7E" w14:textId="714BDA65" w:rsidR="00DE78D2" w:rsidRPr="003514AF" w:rsidRDefault="00D87BBD" w:rsidP="003514AF">
            <w:pPr>
              <w:ind w:firstLineChars="100" w:firstLine="200"/>
              <w:rPr>
                <w:rFonts w:eastAsiaTheme="minorHAnsi"/>
                <w:kern w:val="0"/>
                <w:sz w:val="20"/>
                <w:szCs w:val="20"/>
              </w:rPr>
            </w:pPr>
            <w:r w:rsidRPr="00B21F05">
              <w:rPr>
                <w:rFonts w:hint="eastAsia"/>
                <w:sz w:val="20"/>
                <w:szCs w:val="20"/>
              </w:rPr>
              <w:t>なお、大阪ＩＲにおけるゲーミングの年間</w:t>
            </w:r>
            <w:r w:rsidRPr="00B21F05">
              <w:rPr>
                <w:rFonts w:eastAsiaTheme="minorHAnsi" w:hint="eastAsia"/>
                <w:kern w:val="0"/>
                <w:sz w:val="20"/>
                <w:szCs w:val="20"/>
              </w:rPr>
              <w:t>売上は約4,200億円であり、ノンゲーミングも加えた大阪ＩＲ全体での年間売上が約5,200億円となって</w:t>
            </w:r>
            <w:r w:rsidR="003D3267">
              <w:rPr>
                <w:rFonts w:eastAsiaTheme="minorHAnsi" w:hint="eastAsia"/>
                <w:kern w:val="0"/>
                <w:sz w:val="20"/>
                <w:szCs w:val="20"/>
              </w:rPr>
              <w:t>い</w:t>
            </w:r>
            <w:r w:rsidRPr="00B21F05">
              <w:rPr>
                <w:rFonts w:eastAsiaTheme="minorHAnsi" w:hint="eastAsia"/>
                <w:kern w:val="0"/>
                <w:sz w:val="20"/>
                <w:szCs w:val="20"/>
              </w:rPr>
              <w:t>ます。</w:t>
            </w:r>
          </w:p>
        </w:tc>
      </w:tr>
      <w:tr w:rsidR="00DE78D2" w14:paraId="29548994" w14:textId="77777777" w:rsidTr="004B31E1">
        <w:trPr>
          <w:trHeight w:val="1971"/>
        </w:trPr>
        <w:tc>
          <w:tcPr>
            <w:tcW w:w="704" w:type="dxa"/>
          </w:tcPr>
          <w:p w14:paraId="16F49C03" w14:textId="568845A1" w:rsidR="00DE78D2" w:rsidRDefault="00F23665" w:rsidP="000411BF">
            <w:pPr>
              <w:jc w:val="center"/>
              <w:rPr>
                <w:sz w:val="20"/>
                <w:szCs w:val="20"/>
              </w:rPr>
            </w:pPr>
            <w:r>
              <w:rPr>
                <w:rFonts w:hint="eastAsia"/>
                <w:sz w:val="20"/>
                <w:szCs w:val="20"/>
              </w:rPr>
              <w:t>1</w:t>
            </w:r>
            <w:r>
              <w:rPr>
                <w:sz w:val="20"/>
                <w:szCs w:val="20"/>
              </w:rPr>
              <w:t>9</w:t>
            </w:r>
          </w:p>
        </w:tc>
        <w:tc>
          <w:tcPr>
            <w:tcW w:w="5528" w:type="dxa"/>
          </w:tcPr>
          <w:p w14:paraId="4111E898" w14:textId="4EEE5D1D" w:rsidR="00DE78D2" w:rsidRPr="00162646" w:rsidRDefault="002A6D1A" w:rsidP="00663D24">
            <w:pPr>
              <w:ind w:firstLineChars="100" w:firstLine="200"/>
              <w:rPr>
                <w:sz w:val="20"/>
                <w:szCs w:val="20"/>
              </w:rPr>
            </w:pPr>
            <w:r w:rsidRPr="002A6D1A">
              <w:rPr>
                <w:rFonts w:hint="eastAsia"/>
                <w:sz w:val="20"/>
                <w:szCs w:val="20"/>
              </w:rPr>
              <w:t>夢洲のドロドロ地に杭を打つと言うことですが、この杭の値段は１本何円で、合計何本打ち込む予定ですか</w:t>
            </w:r>
            <w:r w:rsidRPr="002A6D1A">
              <w:rPr>
                <w:sz w:val="20"/>
                <w:szCs w:val="20"/>
              </w:rPr>
              <w:t>?</w:t>
            </w:r>
          </w:p>
        </w:tc>
        <w:tc>
          <w:tcPr>
            <w:tcW w:w="9214" w:type="dxa"/>
          </w:tcPr>
          <w:p w14:paraId="6714F053" w14:textId="4058C2D4" w:rsidR="002A6D1A" w:rsidRPr="00627387" w:rsidRDefault="002F3412" w:rsidP="002F3412">
            <w:pPr>
              <w:ind w:firstLineChars="100" w:firstLine="200"/>
              <w:rPr>
                <w:sz w:val="20"/>
                <w:szCs w:val="20"/>
              </w:rPr>
            </w:pPr>
            <w:r w:rsidRPr="00627387">
              <w:rPr>
                <w:rFonts w:hint="eastAsia"/>
                <w:sz w:val="20"/>
                <w:szCs w:val="20"/>
              </w:rPr>
              <w:t>ＩＲは、民設民営の事業であり、</w:t>
            </w:r>
            <w:r w:rsidR="00627387" w:rsidRPr="00C43469">
              <w:rPr>
                <w:rFonts w:hint="eastAsia"/>
                <w:sz w:val="20"/>
                <w:szCs w:val="20"/>
              </w:rPr>
              <w:t>ＩＲ建設工事の工事内容については法人等情報等に該当するため、公開しておりません。</w:t>
            </w:r>
          </w:p>
        </w:tc>
      </w:tr>
      <w:tr w:rsidR="00DE78D2" w14:paraId="71CCD8A8" w14:textId="77777777" w:rsidTr="0034417C">
        <w:trPr>
          <w:trHeight w:val="359"/>
        </w:trPr>
        <w:tc>
          <w:tcPr>
            <w:tcW w:w="704" w:type="dxa"/>
          </w:tcPr>
          <w:p w14:paraId="2203722E" w14:textId="7D315490" w:rsidR="00DE78D2" w:rsidRDefault="00DE78D2" w:rsidP="000411BF">
            <w:pPr>
              <w:jc w:val="center"/>
              <w:rPr>
                <w:sz w:val="20"/>
                <w:szCs w:val="20"/>
              </w:rPr>
            </w:pPr>
            <w:r>
              <w:rPr>
                <w:rFonts w:hint="eastAsia"/>
                <w:sz w:val="20"/>
                <w:szCs w:val="20"/>
              </w:rPr>
              <w:lastRenderedPageBreak/>
              <w:t>2</w:t>
            </w:r>
            <w:r w:rsidR="00F23665">
              <w:rPr>
                <w:sz w:val="20"/>
                <w:szCs w:val="20"/>
              </w:rPr>
              <w:t>0</w:t>
            </w:r>
          </w:p>
        </w:tc>
        <w:tc>
          <w:tcPr>
            <w:tcW w:w="5528" w:type="dxa"/>
          </w:tcPr>
          <w:p w14:paraId="7940113E" w14:textId="417AB446" w:rsidR="00DE78D2" w:rsidRPr="00162646" w:rsidRDefault="002A6D1A" w:rsidP="00663D24">
            <w:pPr>
              <w:ind w:firstLineChars="100" w:firstLine="200"/>
              <w:rPr>
                <w:sz w:val="20"/>
                <w:szCs w:val="20"/>
              </w:rPr>
            </w:pPr>
            <w:r w:rsidRPr="002A6D1A">
              <w:rPr>
                <w:rFonts w:hint="eastAsia"/>
                <w:sz w:val="20"/>
                <w:szCs w:val="20"/>
              </w:rPr>
              <w:t>質問ですが、展示等施設はインテックス大阪と重なる部分だと思いますが、現状はどのように棲み分けを考えられていますか？また、大阪・関西万博を思い起こさせる「ミャクミャク」を活用した</w:t>
            </w:r>
            <w:r w:rsidRPr="002A6D1A">
              <w:rPr>
                <w:sz w:val="20"/>
                <w:szCs w:val="20"/>
              </w:rPr>
              <w:t>施設は建設されるでしょうか？</w:t>
            </w:r>
          </w:p>
        </w:tc>
        <w:tc>
          <w:tcPr>
            <w:tcW w:w="9214" w:type="dxa"/>
          </w:tcPr>
          <w:p w14:paraId="64D47F8E" w14:textId="628554F7" w:rsidR="00D87BBD" w:rsidRPr="00CA2976" w:rsidRDefault="00D87BBD" w:rsidP="00D87BBD">
            <w:pPr>
              <w:ind w:firstLineChars="100" w:firstLine="200"/>
              <w:rPr>
                <w:sz w:val="20"/>
                <w:szCs w:val="20"/>
              </w:rPr>
            </w:pPr>
            <w:r w:rsidRPr="006521AB">
              <w:rPr>
                <w:rFonts w:hint="eastAsia"/>
                <w:sz w:val="20"/>
                <w:szCs w:val="20"/>
              </w:rPr>
              <w:t>大阪ＩＲでは、大規模な国際会議場と展示等施設が一体となった複合型で、また、</w:t>
            </w:r>
            <w:r w:rsidRPr="006521AB">
              <w:rPr>
                <w:rFonts w:hint="eastAsia"/>
                <w:kern w:val="0"/>
                <w:sz w:val="20"/>
                <w:szCs w:val="20"/>
              </w:rPr>
              <w:t>宿泊施設、飲食・物販・サービス施設及びエンターテイメント施設等を併設したオールインワン型のＭＩＣＥ施設を整備</w:t>
            </w:r>
            <w:r w:rsidRPr="006521AB">
              <w:rPr>
                <w:rFonts w:hint="eastAsia"/>
                <w:sz w:val="20"/>
                <w:szCs w:val="20"/>
              </w:rPr>
              <w:t>するこ</w:t>
            </w:r>
            <w:r>
              <w:rPr>
                <w:rFonts w:hint="eastAsia"/>
                <w:sz w:val="20"/>
                <w:szCs w:val="20"/>
              </w:rPr>
              <w:t>とにより、これまで国内で開催されてこなかった世界規模のＭＩＣＥや都市格向上につながる政府系会議等、経済波及効果が高く見込まれるＭＩＣＥを誘致・開催するとともに、各主要ＭＩＣＥ拠点との連携等を行います。</w:t>
            </w:r>
          </w:p>
          <w:p w14:paraId="472E5FA0" w14:textId="0A284C10" w:rsidR="00D87BBD" w:rsidRPr="006521AB" w:rsidRDefault="00D87BBD" w:rsidP="00D87BBD">
            <w:pPr>
              <w:ind w:firstLineChars="100" w:firstLine="200"/>
              <w:rPr>
                <w:color w:val="FF0000"/>
                <w:sz w:val="20"/>
                <w:szCs w:val="20"/>
              </w:rPr>
            </w:pPr>
            <w:r w:rsidRPr="00B964BD">
              <w:rPr>
                <w:rFonts w:hint="eastAsia"/>
                <w:sz w:val="20"/>
                <w:szCs w:val="20"/>
              </w:rPr>
              <w:t>また、</w:t>
            </w:r>
            <w:r>
              <w:rPr>
                <w:rFonts w:hint="eastAsia"/>
                <w:sz w:val="20"/>
                <w:szCs w:val="20"/>
              </w:rPr>
              <w:t>インテックス大阪をはじめとする他の展示等施設に、開催日程の重複、展示会の規模、展示会の内容等に応じて、催事の紹介又は共催の提案等を行うことで、大阪での展示会開催機会の拡大につなげ、また、大阪ＩＲがアフターＭＩＣＥのコンテンツとしてエンターテイメントを提供する等、幅広い連携を進めていくこととしています。</w:t>
            </w:r>
          </w:p>
          <w:p w14:paraId="579C1E41" w14:textId="46FAC95E" w:rsidR="00F9579D" w:rsidRPr="00F9579D" w:rsidRDefault="0034148D" w:rsidP="00F9579D">
            <w:pPr>
              <w:ind w:firstLineChars="100" w:firstLine="200"/>
              <w:rPr>
                <w:sz w:val="20"/>
                <w:szCs w:val="20"/>
              </w:rPr>
            </w:pPr>
            <w:r w:rsidRPr="00C43469">
              <w:rPr>
                <w:rFonts w:hint="eastAsia"/>
                <w:sz w:val="20"/>
                <w:szCs w:val="20"/>
              </w:rPr>
              <w:t>夢洲第１</w:t>
            </w:r>
            <w:r w:rsidR="001B08A1" w:rsidRPr="00C43469">
              <w:rPr>
                <w:rFonts w:hint="eastAsia"/>
                <w:sz w:val="20"/>
                <w:szCs w:val="20"/>
              </w:rPr>
              <w:t>期（ＩＲ区域）の</w:t>
            </w:r>
            <w:r w:rsidR="00F9579D" w:rsidRPr="0028625B">
              <w:rPr>
                <w:rFonts w:hint="eastAsia"/>
                <w:sz w:val="20"/>
                <w:szCs w:val="20"/>
              </w:rPr>
              <w:t>区域整備計画において、「ミャクミャク」を活用した施設は計画しておりませんが、</w:t>
            </w:r>
            <w:r w:rsidR="00F9579D" w:rsidRPr="00F9579D">
              <w:rPr>
                <w:rFonts w:hint="eastAsia"/>
                <w:sz w:val="20"/>
                <w:szCs w:val="20"/>
              </w:rPr>
              <w:t>「未来社会の実験場」という大阪・関西万博のコンセプトを継承し、社会課題の解決及び府民の生活の質（ＱＯＬ）向上につながるまちづくりを進めることとしており、広大で多くの交流人口を生む夢洲の特性を活かして最先端技術の実証・実装の場を設けるとともに、ＳＤＧｓの達成に貢献するサステナブルなＩＲをめざすこととしています。</w:t>
            </w:r>
          </w:p>
          <w:p w14:paraId="29E2831E" w14:textId="58960F60" w:rsidR="00BC5B7B" w:rsidRPr="00DF2341" w:rsidRDefault="00F9579D" w:rsidP="00C43469">
            <w:pPr>
              <w:ind w:firstLineChars="100" w:firstLine="200"/>
              <w:rPr>
                <w:sz w:val="20"/>
                <w:szCs w:val="20"/>
              </w:rPr>
            </w:pPr>
            <w:r w:rsidRPr="00F9579D">
              <w:rPr>
                <w:rFonts w:hint="eastAsia"/>
                <w:sz w:val="20"/>
                <w:szCs w:val="20"/>
              </w:rPr>
              <w:t>なお、夢洲第２期区域においては、万博の理念を継承したまちづくりを行うこととして</w:t>
            </w:r>
            <w:r w:rsidR="003D3267">
              <w:rPr>
                <w:rFonts w:hint="eastAsia"/>
                <w:sz w:val="20"/>
                <w:szCs w:val="20"/>
              </w:rPr>
              <w:t>い</w:t>
            </w:r>
            <w:r w:rsidRPr="00F9579D">
              <w:rPr>
                <w:rFonts w:hint="eastAsia"/>
                <w:sz w:val="20"/>
                <w:szCs w:val="20"/>
              </w:rPr>
              <w:t>ます。</w:t>
            </w:r>
          </w:p>
        </w:tc>
      </w:tr>
    </w:tbl>
    <w:p w14:paraId="3289DFD6" w14:textId="071A815E" w:rsidR="00961D85" w:rsidRDefault="00961D85"/>
    <w:sectPr w:rsidR="00961D85" w:rsidSect="000411BF">
      <w:headerReference w:type="default" r:id="rId8"/>
      <w:footerReference w:type="default" r:id="rId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C6F0" w14:textId="77777777" w:rsidR="000C300F" w:rsidRDefault="000C300F" w:rsidP="00E354EB">
      <w:r>
        <w:separator/>
      </w:r>
    </w:p>
  </w:endnote>
  <w:endnote w:type="continuationSeparator" w:id="0">
    <w:p w14:paraId="1B6FADE8" w14:textId="77777777" w:rsidR="000C300F" w:rsidRDefault="000C300F"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7019BD86" w14:textId="629F4A40" w:rsidR="008D5C86" w:rsidRDefault="008D5C86">
        <w:pPr>
          <w:pStyle w:val="a7"/>
          <w:jc w:val="center"/>
        </w:pPr>
        <w:r>
          <w:fldChar w:fldCharType="begin"/>
        </w:r>
        <w:r>
          <w:instrText>PAGE   \* MERGEFORMAT</w:instrText>
        </w:r>
        <w:r>
          <w:fldChar w:fldCharType="separate"/>
        </w:r>
        <w:r>
          <w:rPr>
            <w:lang w:val="ja-JP"/>
          </w:rPr>
          <w:t>2</w:t>
        </w:r>
        <w:r>
          <w:fldChar w:fldCharType="end"/>
        </w:r>
      </w:p>
    </w:sdtContent>
  </w:sdt>
  <w:p w14:paraId="063272A5" w14:textId="77777777" w:rsidR="008D5C86" w:rsidRDefault="008D5C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1BC2" w14:textId="77777777" w:rsidR="000C300F" w:rsidRDefault="000C300F" w:rsidP="00E354EB">
      <w:r>
        <w:separator/>
      </w:r>
    </w:p>
  </w:footnote>
  <w:footnote w:type="continuationSeparator" w:id="0">
    <w:p w14:paraId="6DDF3855" w14:textId="77777777" w:rsidR="000C300F" w:rsidRDefault="000C300F"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043DF1"/>
    <w:multiLevelType w:val="hybridMultilevel"/>
    <w:tmpl w:val="D2DE3F88"/>
    <w:lvl w:ilvl="0" w:tplc="C8B45CB2">
      <w:start w:val="1"/>
      <w:numFmt w:val="decimalEnclosedCircle"/>
      <w:lvlText w:val="%1"/>
      <w:lvlJc w:val="left"/>
      <w:pPr>
        <w:ind w:left="560" w:hanging="360"/>
      </w:pPr>
      <w:rPr>
        <w:rFonts w:asciiTheme="minorHAnsi" w:eastAsiaTheme="minorEastAsia" w:hAnsiTheme="minorHAnsi" w:cstheme="minorBidi"/>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2" w15:restartNumberingAfterBreak="0">
    <w:nsid w:val="1A4C11E0"/>
    <w:multiLevelType w:val="hybridMultilevel"/>
    <w:tmpl w:val="8A569AD0"/>
    <w:lvl w:ilvl="0" w:tplc="72E407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EE1BC2"/>
    <w:multiLevelType w:val="hybridMultilevel"/>
    <w:tmpl w:val="29AC0CCE"/>
    <w:lvl w:ilvl="0" w:tplc="A400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AD746B"/>
    <w:multiLevelType w:val="hybridMultilevel"/>
    <w:tmpl w:val="F056CA86"/>
    <w:lvl w:ilvl="0" w:tplc="72E4076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3D392D"/>
    <w:multiLevelType w:val="hybridMultilevel"/>
    <w:tmpl w:val="C6E49D9C"/>
    <w:lvl w:ilvl="0" w:tplc="66C4D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17E3D"/>
    <w:multiLevelType w:val="hybridMultilevel"/>
    <w:tmpl w:val="62722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8"/>
  </w:num>
  <w:num w:numId="7">
    <w:abstractNumId w:val="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07746"/>
    <w:rsid w:val="00010B6A"/>
    <w:rsid w:val="00012D51"/>
    <w:rsid w:val="00016F5C"/>
    <w:rsid w:val="00020759"/>
    <w:rsid w:val="0002236A"/>
    <w:rsid w:val="000411BF"/>
    <w:rsid w:val="0004662F"/>
    <w:rsid w:val="0008522A"/>
    <w:rsid w:val="00085DBC"/>
    <w:rsid w:val="000C300F"/>
    <w:rsid w:val="000C3ABA"/>
    <w:rsid w:val="000E164E"/>
    <w:rsid w:val="00104B03"/>
    <w:rsid w:val="00106C95"/>
    <w:rsid w:val="00107862"/>
    <w:rsid w:val="00133D08"/>
    <w:rsid w:val="00162646"/>
    <w:rsid w:val="00193425"/>
    <w:rsid w:val="001A19C8"/>
    <w:rsid w:val="001B08A1"/>
    <w:rsid w:val="001C18C0"/>
    <w:rsid w:val="001D5D5E"/>
    <w:rsid w:val="001D6381"/>
    <w:rsid w:val="001E3774"/>
    <w:rsid w:val="002030F9"/>
    <w:rsid w:val="002036EA"/>
    <w:rsid w:val="00204535"/>
    <w:rsid w:val="0021127D"/>
    <w:rsid w:val="00216053"/>
    <w:rsid w:val="00216555"/>
    <w:rsid w:val="00220B05"/>
    <w:rsid w:val="00233711"/>
    <w:rsid w:val="00240AD7"/>
    <w:rsid w:val="00242A55"/>
    <w:rsid w:val="0026505C"/>
    <w:rsid w:val="002818A5"/>
    <w:rsid w:val="00284BC3"/>
    <w:rsid w:val="0028625B"/>
    <w:rsid w:val="00286797"/>
    <w:rsid w:val="00291501"/>
    <w:rsid w:val="00296A9C"/>
    <w:rsid w:val="002A455F"/>
    <w:rsid w:val="002A6D1A"/>
    <w:rsid w:val="002A7B1C"/>
    <w:rsid w:val="002C43AA"/>
    <w:rsid w:val="002D5EAD"/>
    <w:rsid w:val="002E70D7"/>
    <w:rsid w:val="002E79BD"/>
    <w:rsid w:val="002F3412"/>
    <w:rsid w:val="002F3631"/>
    <w:rsid w:val="002F5564"/>
    <w:rsid w:val="002F5695"/>
    <w:rsid w:val="003007B3"/>
    <w:rsid w:val="00307689"/>
    <w:rsid w:val="0031005A"/>
    <w:rsid w:val="00317ABF"/>
    <w:rsid w:val="00337E11"/>
    <w:rsid w:val="0034148D"/>
    <w:rsid w:val="0034417C"/>
    <w:rsid w:val="00350135"/>
    <w:rsid w:val="003514AF"/>
    <w:rsid w:val="003514F5"/>
    <w:rsid w:val="003569CF"/>
    <w:rsid w:val="0036045E"/>
    <w:rsid w:val="0036226B"/>
    <w:rsid w:val="003855BF"/>
    <w:rsid w:val="00385C8F"/>
    <w:rsid w:val="003A2961"/>
    <w:rsid w:val="003A4A69"/>
    <w:rsid w:val="003A6765"/>
    <w:rsid w:val="003B0DCE"/>
    <w:rsid w:val="003B3AA9"/>
    <w:rsid w:val="003B7E9B"/>
    <w:rsid w:val="003D3267"/>
    <w:rsid w:val="003D5D2A"/>
    <w:rsid w:val="003E537E"/>
    <w:rsid w:val="003F39C6"/>
    <w:rsid w:val="003F4189"/>
    <w:rsid w:val="00412468"/>
    <w:rsid w:val="004164C1"/>
    <w:rsid w:val="00423B20"/>
    <w:rsid w:val="00430544"/>
    <w:rsid w:val="00446382"/>
    <w:rsid w:val="0045234C"/>
    <w:rsid w:val="00452F14"/>
    <w:rsid w:val="004646D0"/>
    <w:rsid w:val="004671CD"/>
    <w:rsid w:val="00475B32"/>
    <w:rsid w:val="004778DF"/>
    <w:rsid w:val="0049415E"/>
    <w:rsid w:val="004A78E3"/>
    <w:rsid w:val="004B31E1"/>
    <w:rsid w:val="004B4628"/>
    <w:rsid w:val="004D5D1B"/>
    <w:rsid w:val="00503C3E"/>
    <w:rsid w:val="005143A8"/>
    <w:rsid w:val="00517552"/>
    <w:rsid w:val="005309A4"/>
    <w:rsid w:val="005403CD"/>
    <w:rsid w:val="005564BB"/>
    <w:rsid w:val="00571604"/>
    <w:rsid w:val="00572258"/>
    <w:rsid w:val="00576B74"/>
    <w:rsid w:val="0059397C"/>
    <w:rsid w:val="005B2143"/>
    <w:rsid w:val="005C22B8"/>
    <w:rsid w:val="005C24BC"/>
    <w:rsid w:val="005C65DB"/>
    <w:rsid w:val="005E643E"/>
    <w:rsid w:val="00614D42"/>
    <w:rsid w:val="00625C1B"/>
    <w:rsid w:val="00627387"/>
    <w:rsid w:val="006432DC"/>
    <w:rsid w:val="0064385A"/>
    <w:rsid w:val="0065291C"/>
    <w:rsid w:val="00663A02"/>
    <w:rsid w:val="00663D24"/>
    <w:rsid w:val="00667FD6"/>
    <w:rsid w:val="006A6478"/>
    <w:rsid w:val="006B4C39"/>
    <w:rsid w:val="006D3429"/>
    <w:rsid w:val="006D61B7"/>
    <w:rsid w:val="006E12AF"/>
    <w:rsid w:val="006F34A4"/>
    <w:rsid w:val="00707389"/>
    <w:rsid w:val="00707B23"/>
    <w:rsid w:val="00726170"/>
    <w:rsid w:val="00726325"/>
    <w:rsid w:val="00733983"/>
    <w:rsid w:val="0073610C"/>
    <w:rsid w:val="00747CA1"/>
    <w:rsid w:val="00756E94"/>
    <w:rsid w:val="007865DC"/>
    <w:rsid w:val="00791290"/>
    <w:rsid w:val="007B3682"/>
    <w:rsid w:val="007C76D5"/>
    <w:rsid w:val="007E1CC9"/>
    <w:rsid w:val="00805096"/>
    <w:rsid w:val="0083309A"/>
    <w:rsid w:val="0083551C"/>
    <w:rsid w:val="008530E0"/>
    <w:rsid w:val="008771BD"/>
    <w:rsid w:val="008923BE"/>
    <w:rsid w:val="008B0BA6"/>
    <w:rsid w:val="008B6FD6"/>
    <w:rsid w:val="008C06C6"/>
    <w:rsid w:val="008C2050"/>
    <w:rsid w:val="008D4858"/>
    <w:rsid w:val="008D5C86"/>
    <w:rsid w:val="008D7C56"/>
    <w:rsid w:val="008E0859"/>
    <w:rsid w:val="00900D84"/>
    <w:rsid w:val="00901FEA"/>
    <w:rsid w:val="00907949"/>
    <w:rsid w:val="00923E59"/>
    <w:rsid w:val="009309DE"/>
    <w:rsid w:val="00936046"/>
    <w:rsid w:val="00936CB8"/>
    <w:rsid w:val="00937D4D"/>
    <w:rsid w:val="00937DCA"/>
    <w:rsid w:val="009526E0"/>
    <w:rsid w:val="00954852"/>
    <w:rsid w:val="00961D85"/>
    <w:rsid w:val="009642DE"/>
    <w:rsid w:val="00964CF1"/>
    <w:rsid w:val="00971E6D"/>
    <w:rsid w:val="0097787D"/>
    <w:rsid w:val="00981237"/>
    <w:rsid w:val="0099088B"/>
    <w:rsid w:val="0099399C"/>
    <w:rsid w:val="00A00596"/>
    <w:rsid w:val="00A17953"/>
    <w:rsid w:val="00A2058A"/>
    <w:rsid w:val="00A24628"/>
    <w:rsid w:val="00A42A69"/>
    <w:rsid w:val="00A43D82"/>
    <w:rsid w:val="00A532EA"/>
    <w:rsid w:val="00A5503E"/>
    <w:rsid w:val="00A64B8E"/>
    <w:rsid w:val="00A66961"/>
    <w:rsid w:val="00A70A85"/>
    <w:rsid w:val="00A83BE7"/>
    <w:rsid w:val="00A9160D"/>
    <w:rsid w:val="00AA2514"/>
    <w:rsid w:val="00AA702F"/>
    <w:rsid w:val="00AB63D2"/>
    <w:rsid w:val="00AC3563"/>
    <w:rsid w:val="00AE38AC"/>
    <w:rsid w:val="00AF453F"/>
    <w:rsid w:val="00B069E8"/>
    <w:rsid w:val="00B17A8E"/>
    <w:rsid w:val="00B21F05"/>
    <w:rsid w:val="00B22169"/>
    <w:rsid w:val="00B23AFF"/>
    <w:rsid w:val="00B961C8"/>
    <w:rsid w:val="00B964BD"/>
    <w:rsid w:val="00BA5D2D"/>
    <w:rsid w:val="00BB1EFB"/>
    <w:rsid w:val="00BB2BCC"/>
    <w:rsid w:val="00BB4F1C"/>
    <w:rsid w:val="00BB7D36"/>
    <w:rsid w:val="00BC13BB"/>
    <w:rsid w:val="00BC5B7B"/>
    <w:rsid w:val="00BD4C6A"/>
    <w:rsid w:val="00BD63EA"/>
    <w:rsid w:val="00BE3320"/>
    <w:rsid w:val="00BE4DF8"/>
    <w:rsid w:val="00C122B5"/>
    <w:rsid w:val="00C41EBC"/>
    <w:rsid w:val="00C43469"/>
    <w:rsid w:val="00C45DDF"/>
    <w:rsid w:val="00C623B0"/>
    <w:rsid w:val="00C63EF8"/>
    <w:rsid w:val="00C66713"/>
    <w:rsid w:val="00C8688A"/>
    <w:rsid w:val="00C876A5"/>
    <w:rsid w:val="00CA2976"/>
    <w:rsid w:val="00CA44E2"/>
    <w:rsid w:val="00CB3596"/>
    <w:rsid w:val="00CB40DF"/>
    <w:rsid w:val="00CC0D0E"/>
    <w:rsid w:val="00CD2D36"/>
    <w:rsid w:val="00CF1764"/>
    <w:rsid w:val="00CF51A1"/>
    <w:rsid w:val="00CF7E4A"/>
    <w:rsid w:val="00D04FEE"/>
    <w:rsid w:val="00D41C29"/>
    <w:rsid w:val="00D430B7"/>
    <w:rsid w:val="00D6120D"/>
    <w:rsid w:val="00D64BF1"/>
    <w:rsid w:val="00D76230"/>
    <w:rsid w:val="00D77426"/>
    <w:rsid w:val="00D77E4B"/>
    <w:rsid w:val="00D860B1"/>
    <w:rsid w:val="00D86A12"/>
    <w:rsid w:val="00D87249"/>
    <w:rsid w:val="00D87BBD"/>
    <w:rsid w:val="00DA5BE8"/>
    <w:rsid w:val="00DA73EB"/>
    <w:rsid w:val="00DC0B71"/>
    <w:rsid w:val="00DC38D4"/>
    <w:rsid w:val="00DD0DB6"/>
    <w:rsid w:val="00DE78D2"/>
    <w:rsid w:val="00DF2341"/>
    <w:rsid w:val="00DF371C"/>
    <w:rsid w:val="00E0092E"/>
    <w:rsid w:val="00E04E6F"/>
    <w:rsid w:val="00E354EB"/>
    <w:rsid w:val="00E41B40"/>
    <w:rsid w:val="00E43C32"/>
    <w:rsid w:val="00E70031"/>
    <w:rsid w:val="00ED3E5F"/>
    <w:rsid w:val="00ED52CF"/>
    <w:rsid w:val="00ED5381"/>
    <w:rsid w:val="00EE4CD7"/>
    <w:rsid w:val="00EE5983"/>
    <w:rsid w:val="00EF4FC6"/>
    <w:rsid w:val="00EF6EDC"/>
    <w:rsid w:val="00F060CE"/>
    <w:rsid w:val="00F1542E"/>
    <w:rsid w:val="00F20B8C"/>
    <w:rsid w:val="00F23665"/>
    <w:rsid w:val="00F23F8E"/>
    <w:rsid w:val="00F25D7C"/>
    <w:rsid w:val="00F3576C"/>
    <w:rsid w:val="00F37D19"/>
    <w:rsid w:val="00F81434"/>
    <w:rsid w:val="00F8674E"/>
    <w:rsid w:val="00F912DE"/>
    <w:rsid w:val="00F92CE2"/>
    <w:rsid w:val="00F9579D"/>
    <w:rsid w:val="00FA44AC"/>
    <w:rsid w:val="00FB7378"/>
    <w:rsid w:val="00FC39D8"/>
    <w:rsid w:val="00FD1AB1"/>
    <w:rsid w:val="00FD23E5"/>
    <w:rsid w:val="00FD2F70"/>
    <w:rsid w:val="00FE2232"/>
    <w:rsid w:val="00FF1064"/>
    <w:rsid w:val="00FF493A"/>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 w:type="character" w:styleId="aa">
    <w:name w:val="annotation reference"/>
    <w:basedOn w:val="a0"/>
    <w:uiPriority w:val="99"/>
    <w:semiHidden/>
    <w:unhideWhenUsed/>
    <w:rsid w:val="00954852"/>
    <w:rPr>
      <w:sz w:val="18"/>
      <w:szCs w:val="18"/>
    </w:rPr>
  </w:style>
  <w:style w:type="paragraph" w:styleId="ab">
    <w:name w:val="annotation text"/>
    <w:basedOn w:val="a"/>
    <w:link w:val="ac"/>
    <w:uiPriority w:val="99"/>
    <w:semiHidden/>
    <w:unhideWhenUsed/>
    <w:rsid w:val="00954852"/>
    <w:pPr>
      <w:jc w:val="left"/>
    </w:pPr>
  </w:style>
  <w:style w:type="character" w:customStyle="1" w:styleId="ac">
    <w:name w:val="コメント文字列 (文字)"/>
    <w:basedOn w:val="a0"/>
    <w:link w:val="ab"/>
    <w:uiPriority w:val="99"/>
    <w:semiHidden/>
    <w:rsid w:val="00954852"/>
  </w:style>
  <w:style w:type="paragraph" w:styleId="ad">
    <w:name w:val="annotation subject"/>
    <w:basedOn w:val="ab"/>
    <w:next w:val="ab"/>
    <w:link w:val="ae"/>
    <w:uiPriority w:val="99"/>
    <w:semiHidden/>
    <w:unhideWhenUsed/>
    <w:rsid w:val="00954852"/>
    <w:rPr>
      <w:b/>
      <w:bCs/>
    </w:rPr>
  </w:style>
  <w:style w:type="character" w:customStyle="1" w:styleId="ae">
    <w:name w:val="コメント内容 (文字)"/>
    <w:basedOn w:val="ac"/>
    <w:link w:val="ad"/>
    <w:uiPriority w:val="99"/>
    <w:semiHidden/>
    <w:rsid w:val="00954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968817">
      <w:bodyDiv w:val="1"/>
      <w:marLeft w:val="0"/>
      <w:marRight w:val="0"/>
      <w:marTop w:val="0"/>
      <w:marBottom w:val="0"/>
      <w:divBdr>
        <w:top w:val="none" w:sz="0" w:space="0" w:color="auto"/>
        <w:left w:val="none" w:sz="0" w:space="0" w:color="auto"/>
        <w:bottom w:val="none" w:sz="0" w:space="0" w:color="auto"/>
        <w:right w:val="none" w:sz="0" w:space="0" w:color="auto"/>
      </w:divBdr>
    </w:div>
    <w:div w:id="16146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0549-C6F9-41A2-8AD9-DF3A6130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2026-02-19T07:03:00Z</dcterms:created>
  <dcterms:modified xsi:type="dcterms:W3CDTF">2026-02-20T04:59:00Z</dcterms:modified>
</cp:coreProperties>
</file>