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035A4" w14:textId="63A63E69" w:rsidR="00961D85" w:rsidRPr="00937DCA" w:rsidRDefault="002320A7">
      <w:pPr>
        <w:rPr>
          <w:sz w:val="22"/>
        </w:rPr>
      </w:pPr>
      <w:r>
        <w:rPr>
          <w:rFonts w:hint="eastAsia"/>
          <w:sz w:val="22"/>
        </w:rPr>
        <w:t>令和</w:t>
      </w:r>
      <w:r w:rsidR="00C848C1">
        <w:rPr>
          <w:rFonts w:hint="eastAsia"/>
          <w:sz w:val="22"/>
        </w:rPr>
        <w:t>７</w:t>
      </w:r>
      <w:r>
        <w:rPr>
          <w:rFonts w:hint="eastAsia"/>
          <w:sz w:val="22"/>
        </w:rPr>
        <w:t>年度「</w:t>
      </w:r>
      <w:r w:rsidR="00961D85" w:rsidRPr="00937DCA">
        <w:rPr>
          <w:sz w:val="22"/>
        </w:rPr>
        <w:t>大阪</w:t>
      </w:r>
      <w:r w:rsidR="0014357F">
        <w:rPr>
          <w:rFonts w:hint="eastAsia"/>
          <w:sz w:val="22"/>
        </w:rPr>
        <w:t>ＩＲ</w:t>
      </w:r>
      <w:r w:rsidR="00961D85" w:rsidRPr="00937DCA">
        <w:rPr>
          <w:sz w:val="22"/>
        </w:rPr>
        <w:t>（統合型リゾート）説明会</w:t>
      </w:r>
      <w:r>
        <w:rPr>
          <w:rFonts w:hint="eastAsia"/>
          <w:sz w:val="22"/>
        </w:rPr>
        <w:t>」（第</w:t>
      </w:r>
      <w:r w:rsidR="00225AAE">
        <w:rPr>
          <w:rFonts w:hint="eastAsia"/>
          <w:sz w:val="22"/>
        </w:rPr>
        <w:t>３</w:t>
      </w:r>
      <w:r>
        <w:rPr>
          <w:rFonts w:hint="eastAsia"/>
          <w:sz w:val="22"/>
        </w:rPr>
        <w:t xml:space="preserve">回）　</w:t>
      </w:r>
      <w:r w:rsidR="0024110E">
        <w:rPr>
          <w:rFonts w:hint="eastAsia"/>
          <w:sz w:val="22"/>
        </w:rPr>
        <w:t>当日の質問への追加回答について</w:t>
      </w:r>
    </w:p>
    <w:tbl>
      <w:tblPr>
        <w:tblStyle w:val="a3"/>
        <w:tblW w:w="15446" w:type="dxa"/>
        <w:tblLook w:val="04A0" w:firstRow="1" w:lastRow="0" w:firstColumn="1" w:lastColumn="0" w:noHBand="0" w:noVBand="1"/>
      </w:tblPr>
      <w:tblGrid>
        <w:gridCol w:w="562"/>
        <w:gridCol w:w="6521"/>
        <w:gridCol w:w="8363"/>
      </w:tblGrid>
      <w:tr w:rsidR="00961D85" w14:paraId="61F16231" w14:textId="77777777" w:rsidTr="009302C7">
        <w:trPr>
          <w:trHeight w:val="324"/>
        </w:trPr>
        <w:tc>
          <w:tcPr>
            <w:tcW w:w="562" w:type="dxa"/>
          </w:tcPr>
          <w:p w14:paraId="1090A34D" w14:textId="77777777" w:rsidR="00961D85" w:rsidRPr="00937DCA" w:rsidRDefault="00961D85">
            <w:pPr>
              <w:rPr>
                <w:sz w:val="20"/>
                <w:szCs w:val="20"/>
              </w:rPr>
            </w:pPr>
          </w:p>
        </w:tc>
        <w:tc>
          <w:tcPr>
            <w:tcW w:w="6521" w:type="dxa"/>
          </w:tcPr>
          <w:p w14:paraId="17D56C36" w14:textId="77777777" w:rsidR="00961D85" w:rsidRPr="00937DCA" w:rsidRDefault="00961D85" w:rsidP="00961D85">
            <w:pPr>
              <w:jc w:val="center"/>
              <w:rPr>
                <w:szCs w:val="21"/>
              </w:rPr>
            </w:pPr>
            <w:r w:rsidRPr="00937DCA">
              <w:rPr>
                <w:rFonts w:hint="eastAsia"/>
                <w:szCs w:val="21"/>
              </w:rPr>
              <w:t>質問</w:t>
            </w:r>
          </w:p>
        </w:tc>
        <w:tc>
          <w:tcPr>
            <w:tcW w:w="8363" w:type="dxa"/>
            <w:tcBorders>
              <w:bottom w:val="single" w:sz="4" w:space="0" w:color="auto"/>
            </w:tcBorders>
          </w:tcPr>
          <w:p w14:paraId="71A4FFAC" w14:textId="77777777" w:rsidR="00961D85" w:rsidRPr="00937DCA" w:rsidRDefault="00961D85" w:rsidP="00961D85">
            <w:pPr>
              <w:jc w:val="center"/>
              <w:rPr>
                <w:szCs w:val="21"/>
              </w:rPr>
            </w:pPr>
            <w:r w:rsidRPr="00937DCA">
              <w:rPr>
                <w:rFonts w:hint="eastAsia"/>
                <w:szCs w:val="21"/>
              </w:rPr>
              <w:t>回答</w:t>
            </w:r>
          </w:p>
        </w:tc>
      </w:tr>
      <w:tr w:rsidR="009309DE" w14:paraId="29B86DFC" w14:textId="77777777" w:rsidTr="009302C7">
        <w:trPr>
          <w:trHeight w:val="1113"/>
        </w:trPr>
        <w:tc>
          <w:tcPr>
            <w:tcW w:w="562" w:type="dxa"/>
          </w:tcPr>
          <w:p w14:paraId="5498D147" w14:textId="4072A9AF" w:rsidR="009309DE" w:rsidRDefault="00430544" w:rsidP="000411BF">
            <w:pPr>
              <w:jc w:val="center"/>
              <w:rPr>
                <w:sz w:val="20"/>
                <w:szCs w:val="20"/>
              </w:rPr>
            </w:pPr>
            <w:r>
              <w:rPr>
                <w:rFonts w:hint="eastAsia"/>
                <w:sz w:val="20"/>
                <w:szCs w:val="20"/>
              </w:rPr>
              <w:t>１</w:t>
            </w:r>
          </w:p>
        </w:tc>
        <w:tc>
          <w:tcPr>
            <w:tcW w:w="6521" w:type="dxa"/>
            <w:tcBorders>
              <w:right w:val="single" w:sz="4" w:space="0" w:color="auto"/>
            </w:tcBorders>
          </w:tcPr>
          <w:p w14:paraId="05A179C5" w14:textId="656F6488" w:rsidR="009309DE" w:rsidRPr="00937DCA" w:rsidRDefault="00402064" w:rsidP="00FC7E7F">
            <w:pPr>
              <w:ind w:firstLineChars="100" w:firstLine="200"/>
              <w:rPr>
                <w:sz w:val="20"/>
                <w:szCs w:val="20"/>
              </w:rPr>
            </w:pPr>
            <w:r>
              <w:rPr>
                <w:rFonts w:hint="eastAsia"/>
                <w:kern w:val="0"/>
                <w:sz w:val="20"/>
                <w:szCs w:val="20"/>
              </w:rPr>
              <w:t>広告勧誘規制というのがあります。これは、ＩＲ整備法で、ＩＲの外ではビラ等の広告をしてはいけない、はり紙等の広告をしてはいけないということですけれども、テレビ、インターネットについては言及がありません。今、ビラなんかで誰も知ることはないので、テレビ、インターネット、ＳＮＳで知るわけなんで、これに対して規制がないっていうのはもう無規制そのものです。ＩＲの敷地内では、はり紙することができるというふうに整備法では書いてありますけれども、子供も来て楽しめるというのがＩＲの売り文句やったはずです。ここへ来た子供さんたちがそのはり紙を見て、ＩＲって何とか、どんな面白そうなもんやと思うの当たり前だと思います。だから、大阪市が最初に言っておられた家族みんなで楽しめるという、それにそういった宣伝文句が子供さんたちへＩＲに接触するチャンスを与えていくと思います。ですから、カジノに接触するチャンスを与えると思います。ですから、こんな先ほど絵に描いた餅と言われましたけれど、絵に描いた餅どころかこれは嘘八百だと思います。ですから、こんなものでは規制はできないし、規制これだけありますよと並べ立てておられるＩＲ推進局さんは何を考えておられるのかというふうに思います。</w:t>
            </w:r>
          </w:p>
        </w:tc>
        <w:tc>
          <w:tcPr>
            <w:tcW w:w="8363" w:type="dxa"/>
            <w:tcBorders>
              <w:top w:val="single" w:sz="4" w:space="0" w:color="auto"/>
              <w:left w:val="single" w:sz="4" w:space="0" w:color="auto"/>
              <w:bottom w:val="single" w:sz="4" w:space="0" w:color="auto"/>
              <w:right w:val="single" w:sz="4" w:space="0" w:color="auto"/>
            </w:tcBorders>
          </w:tcPr>
          <w:p w14:paraId="5BF4CD5C" w14:textId="77777777" w:rsidR="00C848C1" w:rsidRPr="00C848C1" w:rsidRDefault="00C848C1" w:rsidP="00C848C1">
            <w:pPr>
              <w:ind w:firstLineChars="100" w:firstLine="200"/>
              <w:rPr>
                <w:sz w:val="20"/>
                <w:szCs w:val="20"/>
              </w:rPr>
            </w:pPr>
            <w:r w:rsidRPr="00C848C1">
              <w:rPr>
                <w:rFonts w:hint="eastAsia"/>
                <w:sz w:val="20"/>
                <w:szCs w:val="20"/>
              </w:rPr>
              <w:t>インターネット等の媒体を通じた広告については、特定複合観光施設区域整備法（以下「ＩＲ整備法」という。） 第</w:t>
            </w:r>
            <w:r w:rsidRPr="00C848C1">
              <w:rPr>
                <w:sz w:val="20"/>
                <w:szCs w:val="20"/>
              </w:rPr>
              <w:t>106条第１項第１号により虚偽・誇</w:t>
            </w:r>
            <w:r w:rsidRPr="00C848C1">
              <w:rPr>
                <w:rFonts w:hint="eastAsia"/>
                <w:sz w:val="20"/>
                <w:szCs w:val="20"/>
              </w:rPr>
              <w:t>⼤な表⽰や説明が禁⽌されるなど、規制の対象とされています。</w:t>
            </w:r>
          </w:p>
          <w:p w14:paraId="59771CB6" w14:textId="5F9F0C99" w:rsidR="00C848C1" w:rsidRDefault="00C848C1" w:rsidP="00C848C1">
            <w:pPr>
              <w:ind w:firstLineChars="100" w:firstLine="200"/>
              <w:rPr>
                <w:sz w:val="20"/>
                <w:szCs w:val="20"/>
              </w:rPr>
            </w:pPr>
            <w:r w:rsidRPr="00C848C1">
              <w:rPr>
                <w:rFonts w:hint="eastAsia"/>
                <w:sz w:val="20"/>
                <w:szCs w:val="20"/>
              </w:rPr>
              <w:t>さらに、カジノ管理委員会においては、「カジノ管理委員会関係特定複合観光施設区域整備法施⾏規則案に関する意⾒の概要及びそれに対するカジノ管理委員会の考え⽅」によると、これらの広告の影響⼒の⼤きさに鑑み、ＩＲ整備法第106条第９項に定める広告勧誘指針を⽰し、ＩＲ整備法の規制に追加した規制を検討することになっています。</w:t>
            </w:r>
          </w:p>
          <w:p w14:paraId="73B33361" w14:textId="77777777" w:rsidR="00136E01" w:rsidRPr="00C848C1" w:rsidRDefault="00136E01" w:rsidP="00C848C1">
            <w:pPr>
              <w:ind w:firstLineChars="100" w:firstLine="200"/>
              <w:rPr>
                <w:sz w:val="20"/>
                <w:szCs w:val="20"/>
              </w:rPr>
            </w:pPr>
          </w:p>
          <w:p w14:paraId="7EDAAFD2" w14:textId="77777777" w:rsidR="00C848C1" w:rsidRPr="00C848C1" w:rsidRDefault="00C848C1" w:rsidP="00C848C1">
            <w:pPr>
              <w:rPr>
                <w:sz w:val="20"/>
                <w:szCs w:val="20"/>
              </w:rPr>
            </w:pPr>
            <w:r w:rsidRPr="00C848C1">
              <w:rPr>
                <w:rFonts w:hint="eastAsia"/>
                <w:sz w:val="20"/>
                <w:szCs w:val="20"/>
              </w:rPr>
              <w:t>【参考】</w:t>
            </w:r>
          </w:p>
          <w:p w14:paraId="26980221" w14:textId="77777777" w:rsidR="00C848C1" w:rsidRPr="00C848C1" w:rsidRDefault="00C848C1" w:rsidP="00C848C1">
            <w:pPr>
              <w:rPr>
                <w:sz w:val="20"/>
                <w:szCs w:val="20"/>
              </w:rPr>
            </w:pPr>
            <w:r w:rsidRPr="00C848C1">
              <w:rPr>
                <w:rFonts w:hint="eastAsia"/>
                <w:sz w:val="20"/>
                <w:szCs w:val="20"/>
              </w:rPr>
              <w:t>・特定複合観光施設区域整備法</w:t>
            </w:r>
          </w:p>
          <w:p w14:paraId="309662C3" w14:textId="77777777" w:rsidR="00C848C1" w:rsidRPr="00C848C1" w:rsidRDefault="00C848C1" w:rsidP="00C848C1">
            <w:pPr>
              <w:ind w:firstLineChars="100" w:firstLine="200"/>
              <w:rPr>
                <w:sz w:val="20"/>
                <w:szCs w:val="20"/>
              </w:rPr>
            </w:pPr>
            <w:r w:rsidRPr="00C848C1">
              <w:rPr>
                <w:rFonts w:hint="eastAsia"/>
                <w:sz w:val="20"/>
                <w:szCs w:val="20"/>
              </w:rPr>
              <w:t>（広告及び勧誘の規制）</w:t>
            </w:r>
          </w:p>
          <w:p w14:paraId="1457A437" w14:textId="77777777" w:rsidR="00C848C1" w:rsidRPr="00C848C1" w:rsidRDefault="00C848C1" w:rsidP="00C848C1">
            <w:pPr>
              <w:ind w:leftChars="100" w:left="210"/>
              <w:rPr>
                <w:sz w:val="20"/>
                <w:szCs w:val="20"/>
              </w:rPr>
            </w:pPr>
            <w:r w:rsidRPr="00C848C1">
              <w:rPr>
                <w:rFonts w:hint="eastAsia"/>
                <w:sz w:val="20"/>
                <w:szCs w:val="20"/>
              </w:rPr>
              <w:t>第百六条　何人も、カジノ事業又はカジノ施設に関して広告又は勧誘をするときは、次に掲げる表示又は説明をしてはならない。</w:t>
            </w:r>
          </w:p>
          <w:p w14:paraId="01438F80" w14:textId="77777777" w:rsidR="00C848C1" w:rsidRPr="00C848C1" w:rsidRDefault="00C848C1" w:rsidP="00C848C1">
            <w:pPr>
              <w:ind w:firstLineChars="200" w:firstLine="400"/>
              <w:rPr>
                <w:sz w:val="20"/>
                <w:szCs w:val="20"/>
              </w:rPr>
            </w:pPr>
            <w:r w:rsidRPr="00C848C1">
              <w:rPr>
                <w:rFonts w:hint="eastAsia"/>
                <w:sz w:val="20"/>
                <w:szCs w:val="20"/>
              </w:rPr>
              <w:t>一　虚偽の又は誇大な表示又は説明</w:t>
            </w:r>
          </w:p>
          <w:p w14:paraId="17E4D9D9" w14:textId="77777777" w:rsidR="00C848C1" w:rsidRPr="00C848C1" w:rsidRDefault="00C848C1" w:rsidP="00C848C1">
            <w:pPr>
              <w:ind w:firstLineChars="100" w:firstLine="200"/>
              <w:rPr>
                <w:sz w:val="20"/>
                <w:szCs w:val="20"/>
              </w:rPr>
            </w:pPr>
            <w:r w:rsidRPr="00C848C1">
              <w:rPr>
                <w:rFonts w:hint="eastAsia"/>
                <w:sz w:val="20"/>
                <w:szCs w:val="20"/>
              </w:rPr>
              <w:t>（中略）</w:t>
            </w:r>
          </w:p>
          <w:p w14:paraId="41862416" w14:textId="77777777" w:rsidR="00C848C1" w:rsidRPr="00C848C1" w:rsidRDefault="00C848C1" w:rsidP="00C848C1">
            <w:pPr>
              <w:ind w:leftChars="200" w:left="620" w:hangingChars="100" w:hanging="200"/>
              <w:rPr>
                <w:sz w:val="20"/>
                <w:szCs w:val="20"/>
              </w:rPr>
            </w:pPr>
            <w:r w:rsidRPr="00C848C1">
              <w:rPr>
                <w:rFonts w:hint="eastAsia"/>
                <w:sz w:val="20"/>
                <w:szCs w:val="20"/>
              </w:rPr>
              <w:t>９　カジノ管理委員会は、第六項の規定の趣旨に照らして必要があると認めるときは、カジノ事業又はカジノ施設に関する広告又は勧誘をする者に対し、当該広告又は勧誘をするに当たって従うべき指針（次条において「広告勧誘指針」という。）を示すことができる。</w:t>
            </w:r>
          </w:p>
          <w:p w14:paraId="1AA9EAE9" w14:textId="77777777" w:rsidR="00136E01" w:rsidRPr="00402064" w:rsidRDefault="00C848C1" w:rsidP="00136E01">
            <w:pPr>
              <w:ind w:left="200" w:hangingChars="100" w:hanging="200"/>
              <w:rPr>
                <w:sz w:val="20"/>
                <w:szCs w:val="20"/>
              </w:rPr>
            </w:pPr>
            <w:r w:rsidRPr="00E17889">
              <w:rPr>
                <w:rFonts w:hint="eastAsia"/>
                <w:sz w:val="20"/>
                <w:szCs w:val="20"/>
              </w:rPr>
              <w:t>・</w:t>
            </w:r>
            <w:r w:rsidR="00136E01" w:rsidRPr="00402064">
              <w:rPr>
                <w:rFonts w:hint="eastAsia"/>
                <w:sz w:val="20"/>
                <w:szCs w:val="20"/>
              </w:rPr>
              <w:t>「カジノ管理委員会関係特定複合観光施設区域整備法施⾏規則案に関する意⾒の概要及びそれに対するカジノ管理委員会の考え⽅」</w:t>
            </w:r>
          </w:p>
          <w:p w14:paraId="0E1E0771" w14:textId="62F2E0E0" w:rsidR="009F133F" w:rsidRPr="00402064" w:rsidRDefault="00136E01" w:rsidP="00136E01">
            <w:pPr>
              <w:ind w:leftChars="100" w:left="210"/>
              <w:rPr>
                <w:sz w:val="20"/>
                <w:szCs w:val="20"/>
              </w:rPr>
            </w:pPr>
            <w:r w:rsidRPr="00402064">
              <w:rPr>
                <w:rFonts w:hint="eastAsia"/>
                <w:sz w:val="20"/>
                <w:szCs w:val="20"/>
              </w:rPr>
              <w:lastRenderedPageBreak/>
              <w:t>（該当箇所を抜粋）</w:t>
            </w:r>
          </w:p>
          <w:p w14:paraId="41794948" w14:textId="2AE81AD6" w:rsidR="00136E01" w:rsidRPr="00402064" w:rsidRDefault="00136E01" w:rsidP="00136E01">
            <w:pPr>
              <w:ind w:left="200" w:hangingChars="100" w:hanging="200"/>
              <w:rPr>
                <w:sz w:val="20"/>
                <w:szCs w:val="20"/>
              </w:rPr>
            </w:pPr>
            <w:r w:rsidRPr="00402064">
              <w:rPr>
                <w:rFonts w:hint="eastAsia"/>
                <w:sz w:val="20"/>
                <w:szCs w:val="20"/>
              </w:rPr>
              <w:t xml:space="preserve">　　法においてカジノ事業⼜はカジノ施設に関する広告勧誘を規制している趣旨は、カジノ⾏為への</w:t>
            </w:r>
            <w:r w:rsidRPr="00402064">
              <w:rPr>
                <w:sz w:val="20"/>
                <w:szCs w:val="20"/>
              </w:rPr>
              <w:t>依存防</w:t>
            </w:r>
            <w:r w:rsidRPr="00402064">
              <w:rPr>
                <w:rFonts w:hint="eastAsia"/>
                <w:sz w:val="20"/>
                <w:szCs w:val="20"/>
              </w:rPr>
              <w:t>⽌、⻘少年の健全育成及び善良の⾵俗・清浄な⾵俗環境の保持等にあるところ、広告の対</w:t>
            </w:r>
            <w:r w:rsidRPr="00402064">
              <w:rPr>
                <w:sz w:val="20"/>
                <w:szCs w:val="20"/>
              </w:rPr>
              <w:t>象が、</w:t>
            </w:r>
            <w:r w:rsidRPr="00402064">
              <w:rPr>
                <w:rFonts w:hint="eastAsia"/>
                <w:sz w:val="20"/>
                <w:szCs w:val="20"/>
              </w:rPr>
              <w:t>⽇本⼈及び本邦内に住居を有する外国⼈であるか、外国⼈旅⾏者であるかを区別した規制</w:t>
            </w:r>
            <w:r w:rsidRPr="00402064">
              <w:rPr>
                <w:sz w:val="20"/>
                <w:szCs w:val="20"/>
              </w:rPr>
              <w:t>は設けておりませんが、他</w:t>
            </w:r>
            <w:r w:rsidRPr="00402064">
              <w:rPr>
                <w:rFonts w:hint="eastAsia"/>
                <w:sz w:val="20"/>
                <w:szCs w:val="20"/>
              </w:rPr>
              <w:t>⽅で全ての広告に関して虚偽⼜は誇⼤な表⽰・説明等が禁⽌（法第</w:t>
            </w:r>
            <w:r w:rsidRPr="00402064">
              <w:rPr>
                <w:sz w:val="20"/>
                <w:szCs w:val="20"/>
              </w:rPr>
              <w:t>106 条第１項）されているなど、厳格な規制が設けられています。また、広告物の表</w:t>
            </w:r>
            <w:r w:rsidRPr="00402064">
              <w:rPr>
                <w:rFonts w:hint="eastAsia"/>
                <w:sz w:val="20"/>
                <w:szCs w:val="20"/>
              </w:rPr>
              <w:t>⽰及びビラ等の</w:t>
            </w:r>
            <w:r w:rsidRPr="00402064">
              <w:rPr>
                <w:sz w:val="20"/>
                <w:szCs w:val="20"/>
              </w:rPr>
              <w:t xml:space="preserve">頒布については、特定複合観光施設区域内及び政令で定める地域（いわゆるCIQエリア）のみに限定するという厳しい地域規制を設けています（法第106条第２項）。 </w:t>
            </w:r>
          </w:p>
          <w:p w14:paraId="1EC94067" w14:textId="260B2477" w:rsidR="00136E01" w:rsidRPr="00136E01" w:rsidRDefault="00136E01" w:rsidP="00136E01">
            <w:pPr>
              <w:ind w:leftChars="100" w:left="210" w:firstLineChars="100" w:firstLine="200"/>
              <w:rPr>
                <w:color w:val="FF0000"/>
                <w:sz w:val="20"/>
                <w:szCs w:val="20"/>
              </w:rPr>
            </w:pPr>
            <w:r w:rsidRPr="00402064">
              <w:rPr>
                <w:sz w:val="20"/>
                <w:szCs w:val="20"/>
              </w:rPr>
              <w:t>さらに、テレビ、ラジオ、インターネット等における広告については、その影響</w:t>
            </w:r>
            <w:r w:rsidRPr="00402064">
              <w:rPr>
                <w:rFonts w:hint="eastAsia"/>
                <w:sz w:val="20"/>
                <w:szCs w:val="20"/>
              </w:rPr>
              <w:t>⼒の⼤きさに鑑</w:t>
            </w:r>
            <w:r w:rsidRPr="00402064">
              <w:rPr>
                <w:sz w:val="20"/>
                <w:szCs w:val="20"/>
              </w:rPr>
              <w:t>み、「製造たばこに係る広告を</w:t>
            </w:r>
            <w:r w:rsidRPr="00402064">
              <w:rPr>
                <w:rFonts w:hint="eastAsia"/>
                <w:sz w:val="20"/>
                <w:szCs w:val="20"/>
              </w:rPr>
              <w:t>⾏う際の指針」を参考にしながら、同条第９項に定める広告勧誘</w:t>
            </w:r>
            <w:r w:rsidRPr="00402064">
              <w:rPr>
                <w:sz w:val="20"/>
                <w:szCs w:val="20"/>
              </w:rPr>
              <w:t>指針を</w:t>
            </w:r>
            <w:r w:rsidRPr="00402064">
              <w:rPr>
                <w:rFonts w:hint="eastAsia"/>
                <w:sz w:val="20"/>
                <w:szCs w:val="20"/>
              </w:rPr>
              <w:t>⽰し、法の規制に追加した規制を検討してまいります</w:t>
            </w:r>
            <w:r w:rsidR="00402064" w:rsidRPr="00402064">
              <w:rPr>
                <w:rFonts w:hint="eastAsia"/>
                <w:sz w:val="20"/>
                <w:szCs w:val="20"/>
              </w:rPr>
              <w:t>。</w:t>
            </w:r>
          </w:p>
        </w:tc>
      </w:tr>
    </w:tbl>
    <w:p w14:paraId="3289DFD6" w14:textId="77777777" w:rsidR="00961D85" w:rsidRDefault="00961D85" w:rsidP="00ED27E6">
      <w:pPr>
        <w:spacing w:line="20" w:lineRule="exact"/>
      </w:pPr>
    </w:p>
    <w:sectPr w:rsidR="00961D85" w:rsidSect="00376B05">
      <w:headerReference w:type="default" r:id="rId8"/>
      <w:footerReference w:type="default" r:id="rId9"/>
      <w:pgSz w:w="16838" w:h="11906" w:orient="landscape"/>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CC1736" w14:textId="77777777" w:rsidR="00CF6628" w:rsidRDefault="00CF6628" w:rsidP="00E354EB">
      <w:r>
        <w:separator/>
      </w:r>
    </w:p>
  </w:endnote>
  <w:endnote w:type="continuationSeparator" w:id="0">
    <w:p w14:paraId="5767F744" w14:textId="77777777" w:rsidR="00CF6628" w:rsidRDefault="00CF6628" w:rsidP="00E35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4745070"/>
      <w:docPartObj>
        <w:docPartGallery w:val="Page Numbers (Bottom of Page)"/>
        <w:docPartUnique/>
      </w:docPartObj>
    </w:sdtPr>
    <w:sdtContent>
      <w:p w14:paraId="3CFEB703" w14:textId="62B64383" w:rsidR="00E17889" w:rsidRDefault="00E17889">
        <w:pPr>
          <w:pStyle w:val="a7"/>
          <w:jc w:val="center"/>
        </w:pPr>
        <w:r>
          <w:fldChar w:fldCharType="begin"/>
        </w:r>
        <w:r>
          <w:instrText>PAGE   \* MERGEFORMAT</w:instrText>
        </w:r>
        <w:r>
          <w:fldChar w:fldCharType="separate"/>
        </w:r>
        <w:r>
          <w:rPr>
            <w:lang w:val="ja-JP"/>
          </w:rPr>
          <w:t>2</w:t>
        </w:r>
        <w:r>
          <w:fldChar w:fldCharType="end"/>
        </w:r>
      </w:p>
    </w:sdtContent>
  </w:sdt>
  <w:p w14:paraId="1CA020CA" w14:textId="77777777" w:rsidR="00E17889" w:rsidRDefault="00E1788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BE934F" w14:textId="77777777" w:rsidR="00CF6628" w:rsidRDefault="00CF6628" w:rsidP="00E354EB">
      <w:r>
        <w:separator/>
      </w:r>
    </w:p>
  </w:footnote>
  <w:footnote w:type="continuationSeparator" w:id="0">
    <w:p w14:paraId="737B629E" w14:textId="77777777" w:rsidR="00CF6628" w:rsidRDefault="00CF6628" w:rsidP="00E354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2EF6B" w14:textId="76DA3CD8" w:rsidR="00A71043" w:rsidRDefault="00A71043" w:rsidP="00A71043">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4D2D9F"/>
    <w:multiLevelType w:val="hybridMultilevel"/>
    <w:tmpl w:val="18CE0F6C"/>
    <w:lvl w:ilvl="0" w:tplc="B45CB49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D85"/>
    <w:rsid w:val="00006CF1"/>
    <w:rsid w:val="00010B6A"/>
    <w:rsid w:val="0002236A"/>
    <w:rsid w:val="00033EBA"/>
    <w:rsid w:val="000411BF"/>
    <w:rsid w:val="000C3DBA"/>
    <w:rsid w:val="000C52C7"/>
    <w:rsid w:val="001025B6"/>
    <w:rsid w:val="001224BD"/>
    <w:rsid w:val="00136E01"/>
    <w:rsid w:val="0014357F"/>
    <w:rsid w:val="00213255"/>
    <w:rsid w:val="00217799"/>
    <w:rsid w:val="00225AAE"/>
    <w:rsid w:val="002320A7"/>
    <w:rsid w:val="0024110E"/>
    <w:rsid w:val="00247BB0"/>
    <w:rsid w:val="00284211"/>
    <w:rsid w:val="002E560E"/>
    <w:rsid w:val="002E7E3B"/>
    <w:rsid w:val="00376B05"/>
    <w:rsid w:val="00402064"/>
    <w:rsid w:val="00430544"/>
    <w:rsid w:val="00434822"/>
    <w:rsid w:val="0049415E"/>
    <w:rsid w:val="00534730"/>
    <w:rsid w:val="00571604"/>
    <w:rsid w:val="00576B74"/>
    <w:rsid w:val="00595A68"/>
    <w:rsid w:val="005C22B8"/>
    <w:rsid w:val="00614D42"/>
    <w:rsid w:val="0064385A"/>
    <w:rsid w:val="0065291C"/>
    <w:rsid w:val="00656FA1"/>
    <w:rsid w:val="006A0979"/>
    <w:rsid w:val="006A7148"/>
    <w:rsid w:val="006D2953"/>
    <w:rsid w:val="006D61B7"/>
    <w:rsid w:val="006E0BFA"/>
    <w:rsid w:val="00733983"/>
    <w:rsid w:val="00752701"/>
    <w:rsid w:val="00756E94"/>
    <w:rsid w:val="00772F1B"/>
    <w:rsid w:val="007A38E5"/>
    <w:rsid w:val="007B7387"/>
    <w:rsid w:val="007F7A2F"/>
    <w:rsid w:val="008021B4"/>
    <w:rsid w:val="0082336E"/>
    <w:rsid w:val="00825E05"/>
    <w:rsid w:val="00896253"/>
    <w:rsid w:val="008D4858"/>
    <w:rsid w:val="00916269"/>
    <w:rsid w:val="00923E59"/>
    <w:rsid w:val="009302C7"/>
    <w:rsid w:val="009309DE"/>
    <w:rsid w:val="00937DCA"/>
    <w:rsid w:val="00961D85"/>
    <w:rsid w:val="009A44C5"/>
    <w:rsid w:val="009F133F"/>
    <w:rsid w:val="00A00596"/>
    <w:rsid w:val="00A07CDE"/>
    <w:rsid w:val="00A70A85"/>
    <w:rsid w:val="00A71043"/>
    <w:rsid w:val="00A75D62"/>
    <w:rsid w:val="00A95481"/>
    <w:rsid w:val="00AE38AC"/>
    <w:rsid w:val="00B65CFE"/>
    <w:rsid w:val="00BA537D"/>
    <w:rsid w:val="00BF64FF"/>
    <w:rsid w:val="00C51DDB"/>
    <w:rsid w:val="00C6579D"/>
    <w:rsid w:val="00C72AF1"/>
    <w:rsid w:val="00C848C1"/>
    <w:rsid w:val="00C9537D"/>
    <w:rsid w:val="00CE048F"/>
    <w:rsid w:val="00CF6628"/>
    <w:rsid w:val="00CF6B65"/>
    <w:rsid w:val="00CF7E4A"/>
    <w:rsid w:val="00E10AD3"/>
    <w:rsid w:val="00E17607"/>
    <w:rsid w:val="00E17889"/>
    <w:rsid w:val="00E354EB"/>
    <w:rsid w:val="00ED27E6"/>
    <w:rsid w:val="00EF6EDC"/>
    <w:rsid w:val="00F23F0B"/>
    <w:rsid w:val="00F25D7C"/>
    <w:rsid w:val="00F730C7"/>
    <w:rsid w:val="00FC7E7F"/>
    <w:rsid w:val="00FD2F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CBE2CD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61D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937DCA"/>
    <w:rPr>
      <w:color w:val="0563C1" w:themeColor="hyperlink"/>
      <w:u w:val="single"/>
    </w:rPr>
  </w:style>
  <w:style w:type="paragraph" w:styleId="a5">
    <w:name w:val="header"/>
    <w:basedOn w:val="a"/>
    <w:link w:val="a6"/>
    <w:uiPriority w:val="99"/>
    <w:unhideWhenUsed/>
    <w:rsid w:val="00E354EB"/>
    <w:pPr>
      <w:tabs>
        <w:tab w:val="center" w:pos="4252"/>
        <w:tab w:val="right" w:pos="8504"/>
      </w:tabs>
      <w:snapToGrid w:val="0"/>
    </w:pPr>
  </w:style>
  <w:style w:type="character" w:customStyle="1" w:styleId="a6">
    <w:name w:val="ヘッダー (文字)"/>
    <w:basedOn w:val="a0"/>
    <w:link w:val="a5"/>
    <w:uiPriority w:val="99"/>
    <w:rsid w:val="00E354EB"/>
  </w:style>
  <w:style w:type="paragraph" w:styleId="a7">
    <w:name w:val="footer"/>
    <w:basedOn w:val="a"/>
    <w:link w:val="a8"/>
    <w:uiPriority w:val="99"/>
    <w:unhideWhenUsed/>
    <w:rsid w:val="00E354EB"/>
    <w:pPr>
      <w:tabs>
        <w:tab w:val="center" w:pos="4252"/>
        <w:tab w:val="right" w:pos="8504"/>
      </w:tabs>
      <w:snapToGrid w:val="0"/>
    </w:pPr>
  </w:style>
  <w:style w:type="character" w:customStyle="1" w:styleId="a8">
    <w:name w:val="フッター (文字)"/>
    <w:basedOn w:val="a0"/>
    <w:link w:val="a7"/>
    <w:uiPriority w:val="99"/>
    <w:rsid w:val="00E354EB"/>
  </w:style>
  <w:style w:type="paragraph" w:styleId="a9">
    <w:name w:val="List Paragraph"/>
    <w:basedOn w:val="a"/>
    <w:uiPriority w:val="34"/>
    <w:qFormat/>
    <w:rsid w:val="000C52C7"/>
    <w:pPr>
      <w:ind w:leftChars="400" w:left="840"/>
    </w:pPr>
  </w:style>
  <w:style w:type="character" w:styleId="aa">
    <w:name w:val="annotation reference"/>
    <w:basedOn w:val="a0"/>
    <w:uiPriority w:val="99"/>
    <w:semiHidden/>
    <w:unhideWhenUsed/>
    <w:rsid w:val="00752701"/>
    <w:rPr>
      <w:sz w:val="18"/>
      <w:szCs w:val="18"/>
    </w:rPr>
  </w:style>
  <w:style w:type="paragraph" w:styleId="ab">
    <w:name w:val="annotation text"/>
    <w:basedOn w:val="a"/>
    <w:link w:val="ac"/>
    <w:uiPriority w:val="99"/>
    <w:semiHidden/>
    <w:unhideWhenUsed/>
    <w:rsid w:val="00752701"/>
    <w:pPr>
      <w:jc w:val="left"/>
    </w:pPr>
  </w:style>
  <w:style w:type="character" w:customStyle="1" w:styleId="ac">
    <w:name w:val="コメント文字列 (文字)"/>
    <w:basedOn w:val="a0"/>
    <w:link w:val="ab"/>
    <w:uiPriority w:val="99"/>
    <w:semiHidden/>
    <w:rsid w:val="00752701"/>
  </w:style>
  <w:style w:type="paragraph" w:styleId="ad">
    <w:name w:val="annotation subject"/>
    <w:basedOn w:val="ab"/>
    <w:next w:val="ab"/>
    <w:link w:val="ae"/>
    <w:uiPriority w:val="99"/>
    <w:semiHidden/>
    <w:unhideWhenUsed/>
    <w:rsid w:val="00752701"/>
    <w:rPr>
      <w:b/>
      <w:bCs/>
    </w:rPr>
  </w:style>
  <w:style w:type="character" w:customStyle="1" w:styleId="ae">
    <w:name w:val="コメント内容 (文字)"/>
    <w:basedOn w:val="ac"/>
    <w:link w:val="ad"/>
    <w:uiPriority w:val="99"/>
    <w:semiHidden/>
    <w:rsid w:val="00752701"/>
    <w:rPr>
      <w:b/>
      <w:bCs/>
    </w:rPr>
  </w:style>
  <w:style w:type="paragraph" w:styleId="af">
    <w:name w:val="Plain Text"/>
    <w:basedOn w:val="a"/>
    <w:link w:val="af0"/>
    <w:uiPriority w:val="99"/>
    <w:semiHidden/>
    <w:unhideWhenUsed/>
    <w:rsid w:val="00752701"/>
    <w:pPr>
      <w:jc w:val="left"/>
    </w:pPr>
    <w:rPr>
      <w:rFonts w:ascii="Yu Gothic" w:eastAsia="Yu Gothic" w:hAnsi="Courier New" w:cs="Courier New"/>
      <w:sz w:val="22"/>
    </w:rPr>
  </w:style>
  <w:style w:type="character" w:customStyle="1" w:styleId="af0">
    <w:name w:val="書式なし (文字)"/>
    <w:basedOn w:val="a0"/>
    <w:link w:val="af"/>
    <w:uiPriority w:val="99"/>
    <w:semiHidden/>
    <w:rsid w:val="00752701"/>
    <w:rPr>
      <w:rFonts w:ascii="Yu Gothic" w:eastAsia="Yu Gothic" w:hAnsi="Courier New" w:cs="Courier New"/>
      <w:sz w:val="22"/>
    </w:rPr>
  </w:style>
  <w:style w:type="character" w:styleId="af1">
    <w:name w:val="Unresolved Mention"/>
    <w:basedOn w:val="a0"/>
    <w:uiPriority w:val="99"/>
    <w:semiHidden/>
    <w:unhideWhenUsed/>
    <w:rsid w:val="00C848C1"/>
    <w:rPr>
      <w:color w:val="605E5C"/>
      <w:shd w:val="clear" w:color="auto" w:fill="E1DFDD"/>
    </w:rPr>
  </w:style>
  <w:style w:type="character" w:styleId="af2">
    <w:name w:val="FollowedHyperlink"/>
    <w:basedOn w:val="a0"/>
    <w:uiPriority w:val="99"/>
    <w:semiHidden/>
    <w:unhideWhenUsed/>
    <w:rsid w:val="00C848C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115913">
      <w:bodyDiv w:val="1"/>
      <w:marLeft w:val="0"/>
      <w:marRight w:val="0"/>
      <w:marTop w:val="0"/>
      <w:marBottom w:val="0"/>
      <w:divBdr>
        <w:top w:val="none" w:sz="0" w:space="0" w:color="auto"/>
        <w:left w:val="none" w:sz="0" w:space="0" w:color="auto"/>
        <w:bottom w:val="none" w:sz="0" w:space="0" w:color="auto"/>
        <w:right w:val="none" w:sz="0" w:space="0" w:color="auto"/>
      </w:divBdr>
    </w:div>
    <w:div w:id="1348796795">
      <w:bodyDiv w:val="1"/>
      <w:marLeft w:val="0"/>
      <w:marRight w:val="0"/>
      <w:marTop w:val="0"/>
      <w:marBottom w:val="0"/>
      <w:divBdr>
        <w:top w:val="none" w:sz="0" w:space="0" w:color="auto"/>
        <w:left w:val="none" w:sz="0" w:space="0" w:color="auto"/>
        <w:bottom w:val="none" w:sz="0" w:space="0" w:color="auto"/>
        <w:right w:val="none" w:sz="0" w:space="0" w:color="auto"/>
      </w:divBdr>
    </w:div>
    <w:div w:id="1472477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29FC61-DEB0-4FEC-8676-1B42DA5DD7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233</Words>
  <Characters>1329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2026-02-05T05:26:00Z</dcterms:created>
  <dcterms:modified xsi:type="dcterms:W3CDTF">2026-02-12T05:29:00Z</dcterms:modified>
</cp:coreProperties>
</file>