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29A2A88F" w:rsidR="00961D85" w:rsidRPr="00937DCA" w:rsidRDefault="00C83A06">
      <w:pPr>
        <w:rPr>
          <w:sz w:val="22"/>
        </w:rPr>
      </w:pPr>
      <w:r>
        <w:rPr>
          <w:rFonts w:hint="eastAsia"/>
          <w:sz w:val="22"/>
        </w:rPr>
        <w:t>令和</w:t>
      </w:r>
      <w:r w:rsidR="00CA44E2">
        <w:rPr>
          <w:rFonts w:hint="eastAsia"/>
          <w:sz w:val="22"/>
        </w:rPr>
        <w:t>７</w:t>
      </w:r>
      <w:r w:rsidR="00B961C8">
        <w:rPr>
          <w:rFonts w:hint="eastAsia"/>
          <w:sz w:val="22"/>
        </w:rPr>
        <w:t>年度「</w:t>
      </w:r>
      <w:r w:rsidR="00961D85" w:rsidRPr="00937DCA">
        <w:rPr>
          <w:sz w:val="22"/>
        </w:rPr>
        <w:t>大阪</w:t>
      </w:r>
      <w:r w:rsidR="0059397C">
        <w:rPr>
          <w:rFonts w:hint="eastAsia"/>
          <w:sz w:val="22"/>
        </w:rPr>
        <w:t>ＩＲ</w:t>
      </w:r>
      <w:r w:rsidR="00961D85" w:rsidRPr="00937DCA">
        <w:rPr>
          <w:sz w:val="22"/>
        </w:rPr>
        <w:t>（統合型リゾート）説明会</w:t>
      </w:r>
      <w:r w:rsidR="00B961C8">
        <w:rPr>
          <w:rFonts w:hint="eastAsia"/>
          <w:sz w:val="22"/>
        </w:rPr>
        <w:t>」（第</w:t>
      </w:r>
      <w:r w:rsidR="00106C95">
        <w:rPr>
          <w:rFonts w:hint="eastAsia"/>
          <w:sz w:val="22"/>
        </w:rPr>
        <w:t>３</w:t>
      </w:r>
      <w:r w:rsidR="00B961C8">
        <w:rPr>
          <w:rFonts w:hint="eastAsia"/>
          <w:sz w:val="22"/>
        </w:rPr>
        <w:t>回）</w:t>
      </w:r>
      <w:r w:rsidR="00961D85" w:rsidRPr="00937DCA">
        <w:rPr>
          <w:sz w:val="22"/>
        </w:rPr>
        <w:t xml:space="preserve">　アンケートによる質問について</w:t>
      </w:r>
    </w:p>
    <w:p w14:paraId="748AEC1A" w14:textId="4B640BC9" w:rsidR="00961D85" w:rsidRDefault="00961D85" w:rsidP="00961D85">
      <w:pPr>
        <w:ind w:firstLineChars="100" w:firstLine="210"/>
      </w:pPr>
      <w:r>
        <w:rPr>
          <w:rFonts w:hint="eastAsia"/>
        </w:rPr>
        <w:t>●</w:t>
      </w:r>
      <w:r w:rsidRPr="00452F14">
        <w:rPr>
          <w:rFonts w:hint="eastAsia"/>
        </w:rPr>
        <w:t xml:space="preserve">受付件数　</w:t>
      </w:r>
      <w:r w:rsidR="00663D24" w:rsidRPr="000E164E">
        <w:rPr>
          <w:rFonts w:hint="eastAsia"/>
        </w:rPr>
        <w:t>1</w:t>
      </w:r>
      <w:r w:rsidR="00233711">
        <w:t>7</w:t>
      </w:r>
      <w:r w:rsidRPr="00452F14">
        <w:rPr>
          <w:rFonts w:hint="eastAsia"/>
        </w:rPr>
        <w:t>件</w:t>
      </w:r>
      <w:r w:rsidR="00597074">
        <w:rPr>
          <w:rFonts w:hint="eastAsia"/>
        </w:rPr>
        <w:t xml:space="preserve">　　　　　　　　　　　　　　　　　　　　　　　　　　　　　　　　　　　　</w:t>
      </w:r>
      <w:r w:rsidR="00334CE0">
        <w:rPr>
          <w:rFonts w:hint="eastAsia"/>
        </w:rPr>
        <w:t xml:space="preserve">　　　　　　　　　　　　　　</w:t>
      </w:r>
      <w:r w:rsidR="00D24697">
        <w:rPr>
          <w:rFonts w:hint="eastAsia"/>
        </w:rPr>
        <w:t xml:space="preserve">　　　　　　　　　　　　　　</w:t>
      </w:r>
    </w:p>
    <w:tbl>
      <w:tblPr>
        <w:tblStyle w:val="a3"/>
        <w:tblW w:w="15446" w:type="dxa"/>
        <w:tblLook w:val="04A0" w:firstRow="1" w:lastRow="0" w:firstColumn="1" w:lastColumn="0" w:noHBand="0" w:noVBand="1"/>
      </w:tblPr>
      <w:tblGrid>
        <w:gridCol w:w="704"/>
        <w:gridCol w:w="5528"/>
        <w:gridCol w:w="9214"/>
      </w:tblGrid>
      <w:tr w:rsidR="00353BB7" w14:paraId="46CCAE9B" w14:textId="77777777" w:rsidTr="00353BB7">
        <w:trPr>
          <w:trHeight w:val="317"/>
        </w:trPr>
        <w:tc>
          <w:tcPr>
            <w:tcW w:w="704" w:type="dxa"/>
          </w:tcPr>
          <w:p w14:paraId="7F95ACE6" w14:textId="77777777" w:rsidR="00353BB7" w:rsidRDefault="00353BB7" w:rsidP="000411BF">
            <w:pPr>
              <w:jc w:val="center"/>
              <w:rPr>
                <w:sz w:val="20"/>
                <w:szCs w:val="20"/>
              </w:rPr>
            </w:pPr>
          </w:p>
        </w:tc>
        <w:tc>
          <w:tcPr>
            <w:tcW w:w="5528" w:type="dxa"/>
          </w:tcPr>
          <w:p w14:paraId="2C16EF30" w14:textId="6A6A665C" w:rsidR="00353BB7" w:rsidRPr="00106C95" w:rsidRDefault="00353BB7" w:rsidP="00353BB7">
            <w:pPr>
              <w:ind w:firstLineChars="100" w:firstLine="200"/>
              <w:jc w:val="center"/>
              <w:rPr>
                <w:sz w:val="20"/>
                <w:szCs w:val="20"/>
              </w:rPr>
            </w:pPr>
            <w:r>
              <w:rPr>
                <w:rFonts w:hint="eastAsia"/>
                <w:sz w:val="20"/>
                <w:szCs w:val="20"/>
              </w:rPr>
              <w:t>質問</w:t>
            </w:r>
          </w:p>
        </w:tc>
        <w:tc>
          <w:tcPr>
            <w:tcW w:w="9214" w:type="dxa"/>
          </w:tcPr>
          <w:p w14:paraId="06E2D331" w14:textId="0981B594" w:rsidR="00353BB7" w:rsidRPr="00334CE0" w:rsidRDefault="00353BB7" w:rsidP="00353BB7">
            <w:pPr>
              <w:ind w:firstLineChars="100" w:firstLine="200"/>
              <w:jc w:val="center"/>
              <w:rPr>
                <w:sz w:val="20"/>
                <w:szCs w:val="20"/>
              </w:rPr>
            </w:pPr>
            <w:r>
              <w:rPr>
                <w:rFonts w:hint="eastAsia"/>
                <w:sz w:val="20"/>
                <w:szCs w:val="20"/>
              </w:rPr>
              <w:t>回答</w:t>
            </w:r>
          </w:p>
        </w:tc>
      </w:tr>
      <w:tr w:rsidR="0034417C" w14:paraId="29B86DFC" w14:textId="77777777" w:rsidTr="00713A2E">
        <w:trPr>
          <w:trHeight w:val="1077"/>
        </w:trPr>
        <w:tc>
          <w:tcPr>
            <w:tcW w:w="704" w:type="dxa"/>
          </w:tcPr>
          <w:p w14:paraId="5498D147" w14:textId="193D5EA0" w:rsidR="0034417C" w:rsidRPr="0097787D" w:rsidRDefault="00012D51" w:rsidP="000411BF">
            <w:pPr>
              <w:jc w:val="center"/>
              <w:rPr>
                <w:sz w:val="20"/>
                <w:szCs w:val="20"/>
              </w:rPr>
            </w:pPr>
            <w:r>
              <w:rPr>
                <w:rFonts w:hint="eastAsia"/>
                <w:sz w:val="20"/>
                <w:szCs w:val="20"/>
              </w:rPr>
              <w:t>1</w:t>
            </w:r>
          </w:p>
        </w:tc>
        <w:tc>
          <w:tcPr>
            <w:tcW w:w="5528" w:type="dxa"/>
          </w:tcPr>
          <w:p w14:paraId="05673194" w14:textId="5DAF4C1E" w:rsidR="00012D51" w:rsidRDefault="00106C95" w:rsidP="00D64BF1">
            <w:pPr>
              <w:ind w:firstLineChars="100" w:firstLine="200"/>
              <w:rPr>
                <w:sz w:val="20"/>
                <w:szCs w:val="20"/>
              </w:rPr>
            </w:pPr>
            <w:r w:rsidRPr="00106C95">
              <w:rPr>
                <w:rFonts w:hint="eastAsia"/>
                <w:sz w:val="20"/>
                <w:szCs w:val="20"/>
              </w:rPr>
              <w:t>何故、質問票をくばらないのか？</w:t>
            </w:r>
          </w:p>
          <w:p w14:paraId="05A179C5" w14:textId="42906488" w:rsidR="00597074" w:rsidRPr="0059397C" w:rsidRDefault="00597074" w:rsidP="00353BB7">
            <w:pPr>
              <w:rPr>
                <w:sz w:val="20"/>
                <w:szCs w:val="20"/>
              </w:rPr>
            </w:pPr>
          </w:p>
        </w:tc>
        <w:tc>
          <w:tcPr>
            <w:tcW w:w="9214" w:type="dxa"/>
          </w:tcPr>
          <w:p w14:paraId="1EC94067" w14:textId="38EF3F59" w:rsidR="0034417C" w:rsidRPr="00C45DDF" w:rsidRDefault="001552B1" w:rsidP="00D24697">
            <w:pPr>
              <w:ind w:firstLineChars="100" w:firstLine="200"/>
              <w:rPr>
                <w:sz w:val="20"/>
                <w:szCs w:val="20"/>
              </w:rPr>
            </w:pPr>
            <w:r w:rsidRPr="00334CE0">
              <w:rPr>
                <w:rFonts w:hint="eastAsia"/>
                <w:sz w:val="20"/>
                <w:szCs w:val="20"/>
              </w:rPr>
              <w:t>質問は、任意であることから、</w:t>
            </w:r>
            <w:r w:rsidRPr="001552B1">
              <w:rPr>
                <w:rFonts w:hint="eastAsia"/>
                <w:sz w:val="20"/>
                <w:szCs w:val="20"/>
              </w:rPr>
              <w:t>質問を希望される方はアンケート用紙の最後に質問内容をご記入いただ</w:t>
            </w:r>
            <w:r w:rsidR="007E2724" w:rsidRPr="00393317">
              <w:rPr>
                <w:rFonts w:hint="eastAsia"/>
                <w:sz w:val="20"/>
                <w:szCs w:val="20"/>
              </w:rPr>
              <w:t>くこととしています。</w:t>
            </w:r>
          </w:p>
        </w:tc>
      </w:tr>
      <w:tr w:rsidR="0034417C" w14:paraId="00526297" w14:textId="77777777" w:rsidTr="0034417C">
        <w:trPr>
          <w:trHeight w:val="849"/>
        </w:trPr>
        <w:tc>
          <w:tcPr>
            <w:tcW w:w="704" w:type="dxa"/>
          </w:tcPr>
          <w:p w14:paraId="194971A5" w14:textId="6C8FEE6B" w:rsidR="0034417C" w:rsidRDefault="00012D51" w:rsidP="000411BF">
            <w:pPr>
              <w:jc w:val="center"/>
              <w:rPr>
                <w:sz w:val="20"/>
                <w:szCs w:val="20"/>
              </w:rPr>
            </w:pPr>
            <w:r>
              <w:rPr>
                <w:rFonts w:hint="eastAsia"/>
                <w:sz w:val="20"/>
                <w:szCs w:val="20"/>
              </w:rPr>
              <w:t>2</w:t>
            </w:r>
          </w:p>
          <w:p w14:paraId="2A68C15B" w14:textId="5986892D" w:rsidR="00012D51" w:rsidRPr="0097787D" w:rsidRDefault="00012D51" w:rsidP="000411BF">
            <w:pPr>
              <w:jc w:val="center"/>
              <w:rPr>
                <w:sz w:val="20"/>
                <w:szCs w:val="20"/>
              </w:rPr>
            </w:pPr>
          </w:p>
        </w:tc>
        <w:tc>
          <w:tcPr>
            <w:tcW w:w="5528" w:type="dxa"/>
          </w:tcPr>
          <w:p w14:paraId="73543C70" w14:textId="77777777" w:rsidR="00162646" w:rsidRPr="00162646" w:rsidRDefault="00162646" w:rsidP="00162646">
            <w:pPr>
              <w:rPr>
                <w:sz w:val="20"/>
                <w:szCs w:val="20"/>
              </w:rPr>
            </w:pPr>
            <w:r w:rsidRPr="00162646">
              <w:rPr>
                <w:rFonts w:hint="eastAsia"/>
                <w:sz w:val="20"/>
                <w:szCs w:val="20"/>
              </w:rPr>
              <w:t>・わかりづらい、抽象的表現</w:t>
            </w:r>
          </w:p>
          <w:p w14:paraId="0FA26EC0" w14:textId="53296703" w:rsidR="00162646" w:rsidRDefault="00162646" w:rsidP="00162646">
            <w:pPr>
              <w:rPr>
                <w:sz w:val="20"/>
                <w:szCs w:val="20"/>
              </w:rPr>
            </w:pPr>
            <w:r w:rsidRPr="00162646">
              <w:rPr>
                <w:rFonts w:hint="eastAsia"/>
                <w:sz w:val="20"/>
                <w:szCs w:val="20"/>
              </w:rPr>
              <w:t>・世界</w:t>
            </w:r>
            <w:r w:rsidR="00726170">
              <w:rPr>
                <w:rFonts w:hint="eastAsia"/>
                <w:sz w:val="20"/>
                <w:szCs w:val="20"/>
              </w:rPr>
              <w:t>高</w:t>
            </w:r>
            <w:r w:rsidRPr="00162646">
              <w:rPr>
                <w:rFonts w:hint="eastAsia"/>
                <w:sz w:val="20"/>
                <w:szCs w:val="20"/>
              </w:rPr>
              <w:t>水準・・？これの内容は、他のカジノと比較等が</w:t>
            </w:r>
          </w:p>
          <w:p w14:paraId="019F84DC" w14:textId="1194AC4B" w:rsidR="00162646" w:rsidRPr="00162646" w:rsidRDefault="00162646" w:rsidP="00162646">
            <w:pPr>
              <w:ind w:firstLineChars="100" w:firstLine="200"/>
              <w:rPr>
                <w:sz w:val="20"/>
                <w:szCs w:val="20"/>
              </w:rPr>
            </w:pPr>
            <w:r w:rsidRPr="00162646">
              <w:rPr>
                <w:rFonts w:hint="eastAsia"/>
                <w:sz w:val="20"/>
                <w:szCs w:val="20"/>
              </w:rPr>
              <w:t>必要</w:t>
            </w:r>
          </w:p>
          <w:p w14:paraId="5FB89C40" w14:textId="77777777" w:rsidR="00162646" w:rsidRPr="00162646" w:rsidRDefault="00162646" w:rsidP="00162646">
            <w:pPr>
              <w:rPr>
                <w:sz w:val="20"/>
                <w:szCs w:val="20"/>
              </w:rPr>
            </w:pPr>
            <w:r w:rsidRPr="00162646">
              <w:rPr>
                <w:rFonts w:hint="eastAsia"/>
                <w:sz w:val="20"/>
                <w:szCs w:val="20"/>
              </w:rPr>
              <w:t>・成長型ＩＲって何、意味がわからないし説明がない</w:t>
            </w:r>
          </w:p>
          <w:p w14:paraId="484F2329" w14:textId="54F2938A" w:rsidR="00162646" w:rsidRPr="00162646" w:rsidRDefault="00162646" w:rsidP="00162646">
            <w:pPr>
              <w:rPr>
                <w:sz w:val="20"/>
                <w:szCs w:val="20"/>
              </w:rPr>
            </w:pPr>
            <w:r w:rsidRPr="00162646">
              <w:rPr>
                <w:rFonts w:hint="eastAsia"/>
                <w:sz w:val="20"/>
                <w:szCs w:val="20"/>
              </w:rPr>
              <w:t>・</w:t>
            </w:r>
            <w:r w:rsidRPr="00936046">
              <w:rPr>
                <w:rFonts w:asciiTheme="minorEastAsia" w:hAnsiTheme="minorEastAsia"/>
                <w:sz w:val="20"/>
                <w:szCs w:val="20"/>
              </w:rPr>
              <w:t>only</w:t>
            </w:r>
            <w:r w:rsidR="007E1CC9">
              <w:rPr>
                <w:rFonts w:asciiTheme="minorEastAsia" w:hAnsiTheme="minorEastAsia" w:hint="eastAsia"/>
                <w:sz w:val="20"/>
                <w:szCs w:val="20"/>
              </w:rPr>
              <w:t xml:space="preserve"> </w:t>
            </w:r>
            <w:r w:rsidRPr="00936046">
              <w:rPr>
                <w:rFonts w:asciiTheme="minorEastAsia" w:hAnsiTheme="minorEastAsia"/>
                <w:sz w:val="20"/>
                <w:szCs w:val="20"/>
              </w:rPr>
              <w:t>one</w:t>
            </w:r>
            <w:r w:rsidRPr="00162646">
              <w:rPr>
                <w:sz w:val="20"/>
                <w:szCs w:val="20"/>
              </w:rPr>
              <w:t>になるためにはどうする</w:t>
            </w:r>
          </w:p>
          <w:p w14:paraId="416B753C" w14:textId="77777777" w:rsidR="0034417C" w:rsidRDefault="00162646" w:rsidP="00162646">
            <w:pPr>
              <w:rPr>
                <w:sz w:val="20"/>
                <w:szCs w:val="20"/>
              </w:rPr>
            </w:pPr>
            <w:r w:rsidRPr="00162646">
              <w:rPr>
                <w:rFonts w:hint="eastAsia"/>
                <w:sz w:val="20"/>
                <w:szCs w:val="20"/>
              </w:rPr>
              <w:t>・世界トップクラスってわからない</w:t>
            </w:r>
          </w:p>
          <w:p w14:paraId="2CAD232D" w14:textId="77777777" w:rsidR="00597074" w:rsidRDefault="00597074" w:rsidP="00162646">
            <w:pPr>
              <w:rPr>
                <w:sz w:val="20"/>
                <w:szCs w:val="20"/>
              </w:rPr>
            </w:pPr>
          </w:p>
          <w:p w14:paraId="0FCE7E67" w14:textId="4C94B169" w:rsidR="00597074" w:rsidRDefault="00597074" w:rsidP="00162646">
            <w:pPr>
              <w:rPr>
                <w:sz w:val="20"/>
                <w:szCs w:val="20"/>
              </w:rPr>
            </w:pPr>
          </w:p>
        </w:tc>
        <w:tc>
          <w:tcPr>
            <w:tcW w:w="9214" w:type="dxa"/>
          </w:tcPr>
          <w:p w14:paraId="1AD30D52" w14:textId="77777777" w:rsidR="00562C50" w:rsidRPr="00562C50" w:rsidRDefault="00562C50" w:rsidP="00562C50">
            <w:pPr>
              <w:ind w:firstLineChars="100" w:firstLine="200"/>
              <w:rPr>
                <w:sz w:val="20"/>
                <w:szCs w:val="20"/>
              </w:rPr>
            </w:pPr>
            <w:r w:rsidRPr="00562C50">
              <w:rPr>
                <w:rFonts w:hint="eastAsia"/>
                <w:sz w:val="20"/>
                <w:szCs w:val="20"/>
              </w:rPr>
              <w:t>大阪府・市では、大阪ＩＲのめざす姿などを取りまとめた「大阪ＩＲ基本構想」において、大阪・関西の持続的な経済成長のエンジンとなる「世界最高水準の成長型ＩＲ」を基本コンセプトとして掲げています。</w:t>
            </w:r>
          </w:p>
          <w:p w14:paraId="2DB2D06B" w14:textId="0F3D838D" w:rsidR="00562C50" w:rsidRPr="00562C50" w:rsidRDefault="00562C50" w:rsidP="00562C50">
            <w:pPr>
              <w:ind w:firstLineChars="100" w:firstLine="200"/>
              <w:rPr>
                <w:sz w:val="20"/>
                <w:szCs w:val="20"/>
              </w:rPr>
            </w:pPr>
            <w:r w:rsidRPr="00562C50">
              <w:rPr>
                <w:rFonts w:hint="eastAsia"/>
                <w:sz w:val="20"/>
                <w:szCs w:val="20"/>
              </w:rPr>
              <w:t>その基本コンセプトについては、ビジネス客やファミリー層など世界の幅広い層をターゲットとして、ラスベガスやシンガポールなどの海外のトップレベルのＩＲに肩を並べるようなスケールとクオリティを有する「世界最高水準」のＩＲ、</w:t>
            </w:r>
            <w:r w:rsidRPr="00562C50">
              <w:rPr>
                <w:sz w:val="20"/>
                <w:szCs w:val="20"/>
              </w:rPr>
              <w:t>50年・100年先を見据え、常に時代の最先端となる施設・機能とサービスで変化を遂げる「成長型」のＩＲといった視点を踏まえ、策定した</w:t>
            </w:r>
            <w:r w:rsidRPr="00562C50">
              <w:rPr>
                <w:rFonts w:hint="eastAsia"/>
                <w:sz w:val="20"/>
                <w:szCs w:val="20"/>
              </w:rPr>
              <w:t>ものです。</w:t>
            </w:r>
          </w:p>
          <w:p w14:paraId="3FF2533E" w14:textId="33C9CD44" w:rsidR="00562C50" w:rsidRPr="00562C50" w:rsidRDefault="00562C50" w:rsidP="00562C50">
            <w:pPr>
              <w:ind w:firstLineChars="100" w:firstLine="200"/>
              <w:rPr>
                <w:sz w:val="20"/>
                <w:szCs w:val="20"/>
              </w:rPr>
            </w:pPr>
            <w:r w:rsidRPr="00562C50">
              <w:rPr>
                <w:rFonts w:hint="eastAsia"/>
                <w:sz w:val="20"/>
                <w:szCs w:val="20"/>
              </w:rPr>
              <w:t>大阪ＩＲでは、世界最大級となる１兆円を超える初期投資により、日本最大級の国際会議場や様々なイベントが開催できる展示場、様々な機能を備えるエンターテイメントホテルなどの３つの宿泊施設、世界的なアーティストによるコンサートや大阪ＩＲでしか見られないショーなどを開催する夢洲シアター、さらには大阪・関西の食文化を体験できる施設などを備え、魅力あふれる施設となっており、MGM社がラスベガスを中心に展開する世界最先端の“WOW“と、大阪・関西が誇る観光・産業・文化にわたる魅力・ポテンシャルを融合させることにより、世界最高水準の成長型</w:t>
            </w:r>
            <w:r w:rsidR="00252372">
              <w:rPr>
                <w:rFonts w:hint="eastAsia"/>
                <w:sz w:val="20"/>
                <w:szCs w:val="20"/>
              </w:rPr>
              <w:t>ＩＲ</w:t>
            </w:r>
            <w:r w:rsidRPr="00562C50">
              <w:rPr>
                <w:rFonts w:hint="eastAsia"/>
                <w:sz w:val="20"/>
                <w:szCs w:val="20"/>
              </w:rPr>
              <w:t>を地域とともに創り、育てるとともに、観光産業の高度化、持続可能性の向上に寄与することとしています。</w:t>
            </w:r>
          </w:p>
          <w:p w14:paraId="7FD3EDB0" w14:textId="3CADC7D7" w:rsidR="0034417C" w:rsidRPr="00216053" w:rsidRDefault="00562C50" w:rsidP="00562C50">
            <w:pPr>
              <w:ind w:firstLineChars="100" w:firstLine="200"/>
              <w:rPr>
                <w:sz w:val="20"/>
                <w:szCs w:val="20"/>
              </w:rPr>
            </w:pPr>
            <w:r w:rsidRPr="00562C50">
              <w:rPr>
                <w:rFonts w:hint="eastAsia"/>
                <w:sz w:val="20"/>
                <w:szCs w:val="20"/>
              </w:rPr>
              <w:t>開業後も、施設の修繕、建て替え、コンテンツの更新、追加など、カジノ収益を活用した再投資により、継続的に施設の魅力向上を図り、投資と来場者数増の好循環を形成し、成長型ＩＲとして持続的な発展をめざしていきます。</w:t>
            </w:r>
          </w:p>
        </w:tc>
      </w:tr>
      <w:tr w:rsidR="00162646" w14:paraId="2C718C57" w14:textId="77777777" w:rsidTr="00DF121A">
        <w:trPr>
          <w:trHeight w:val="2910"/>
        </w:trPr>
        <w:tc>
          <w:tcPr>
            <w:tcW w:w="704" w:type="dxa"/>
          </w:tcPr>
          <w:p w14:paraId="6854EC3D" w14:textId="578D5D96" w:rsidR="00162646" w:rsidRDefault="00162646" w:rsidP="000411BF">
            <w:pPr>
              <w:jc w:val="center"/>
              <w:rPr>
                <w:sz w:val="20"/>
                <w:szCs w:val="20"/>
              </w:rPr>
            </w:pPr>
            <w:r>
              <w:rPr>
                <w:rFonts w:hint="eastAsia"/>
                <w:sz w:val="20"/>
                <w:szCs w:val="20"/>
              </w:rPr>
              <w:lastRenderedPageBreak/>
              <w:t>3</w:t>
            </w:r>
          </w:p>
        </w:tc>
        <w:tc>
          <w:tcPr>
            <w:tcW w:w="5528" w:type="dxa"/>
          </w:tcPr>
          <w:p w14:paraId="708C4426" w14:textId="247FDE37" w:rsidR="00162646" w:rsidRPr="00162646" w:rsidRDefault="00162646" w:rsidP="00162646">
            <w:pPr>
              <w:rPr>
                <w:sz w:val="20"/>
                <w:szCs w:val="20"/>
              </w:rPr>
            </w:pPr>
            <w:r w:rsidRPr="00162646">
              <w:rPr>
                <w:rFonts w:hint="eastAsia"/>
                <w:sz w:val="20"/>
                <w:szCs w:val="20"/>
              </w:rPr>
              <w:t>・ＭＩＣＥについては</w:t>
            </w:r>
            <w:r w:rsidR="007E1CC9">
              <w:rPr>
                <w:rFonts w:hint="eastAsia"/>
                <w:sz w:val="20"/>
                <w:szCs w:val="20"/>
              </w:rPr>
              <w:t>規模</w:t>
            </w:r>
            <w:r w:rsidRPr="00162646">
              <w:rPr>
                <w:rFonts w:hint="eastAsia"/>
                <w:sz w:val="20"/>
                <w:szCs w:val="20"/>
              </w:rPr>
              <w:t>のみでコンセプトがない</w:t>
            </w:r>
          </w:p>
          <w:p w14:paraId="65DF99B1" w14:textId="77777777" w:rsidR="00162646" w:rsidRDefault="00162646" w:rsidP="00162646">
            <w:pPr>
              <w:rPr>
                <w:sz w:val="20"/>
                <w:szCs w:val="20"/>
              </w:rPr>
            </w:pPr>
            <w:r w:rsidRPr="00162646">
              <w:rPr>
                <w:rFonts w:hint="eastAsia"/>
                <w:sz w:val="20"/>
                <w:szCs w:val="20"/>
              </w:rPr>
              <w:t>・世界水準のオールインワンＭＩＣＥって？</w:t>
            </w:r>
          </w:p>
          <w:p w14:paraId="0DBBB759" w14:textId="77777777" w:rsidR="00597074" w:rsidRDefault="00597074" w:rsidP="00162646">
            <w:pPr>
              <w:rPr>
                <w:sz w:val="20"/>
                <w:szCs w:val="20"/>
              </w:rPr>
            </w:pPr>
          </w:p>
          <w:p w14:paraId="1CF7CD8F" w14:textId="1AED4176" w:rsidR="00597074" w:rsidRPr="00162646" w:rsidRDefault="00597074" w:rsidP="00162646">
            <w:pPr>
              <w:rPr>
                <w:sz w:val="20"/>
                <w:szCs w:val="20"/>
              </w:rPr>
            </w:pPr>
          </w:p>
        </w:tc>
        <w:tc>
          <w:tcPr>
            <w:tcW w:w="9214" w:type="dxa"/>
          </w:tcPr>
          <w:p w14:paraId="6995A1EA" w14:textId="72A9B544" w:rsidR="00F64E9A" w:rsidRPr="00562C50" w:rsidRDefault="00562C50" w:rsidP="00D24697">
            <w:pPr>
              <w:ind w:firstLineChars="100" w:firstLine="200"/>
              <w:rPr>
                <w:sz w:val="20"/>
                <w:szCs w:val="20"/>
              </w:rPr>
            </w:pPr>
            <w:r w:rsidRPr="00562C50">
              <w:rPr>
                <w:rFonts w:hint="eastAsia"/>
                <w:sz w:val="20"/>
                <w:szCs w:val="20"/>
              </w:rPr>
              <w:t>大阪ＩＲでは、世界水準のオールインワンＭＩＣＥ拠点の形成を目標の一つとして掲げており、</w:t>
            </w:r>
            <w:r w:rsidRPr="00562C50">
              <w:rPr>
                <w:sz w:val="20"/>
                <w:szCs w:val="20"/>
              </w:rPr>
              <w:t>世界水準の質・規模を有する</w:t>
            </w:r>
            <w:r w:rsidRPr="00562C50">
              <w:rPr>
                <w:rFonts w:hint="eastAsia"/>
                <w:sz w:val="20"/>
                <w:szCs w:val="20"/>
              </w:rPr>
              <w:t>国内最大規模の国際会議場施設と、多様なイベントに対応できる展示等施設を設置するとともに、</w:t>
            </w:r>
            <w:r w:rsidRPr="00562C50">
              <w:rPr>
                <w:sz w:val="20"/>
                <w:szCs w:val="20"/>
              </w:rPr>
              <w:t>国際水準の宿泊施設やレクリエーション施設、また、アフターＭＩＣＥ、会議前後や空き時間等に利用可能な魅力ある施設</w:t>
            </w:r>
            <w:r w:rsidRPr="00562C50">
              <w:rPr>
                <w:rFonts w:hint="eastAsia"/>
                <w:sz w:val="20"/>
                <w:szCs w:val="20"/>
              </w:rPr>
              <w:t>など、</w:t>
            </w:r>
            <w:r w:rsidRPr="00562C50">
              <w:rPr>
                <w:sz w:val="20"/>
                <w:szCs w:val="20"/>
              </w:rPr>
              <w:t>ＭＩＣＥ開催の付加価値を高められるような</w:t>
            </w:r>
            <w:r w:rsidRPr="00562C50">
              <w:rPr>
                <w:rFonts w:hint="eastAsia"/>
                <w:sz w:val="20"/>
                <w:szCs w:val="20"/>
              </w:rPr>
              <w:t>施設を併設し、ラスベガス最大のＭＩＣＥオペレーターであるＭＧＭ社の知見等も活かしながら、参加者１万人を超える規模の国際会議の誘致等するなど、世界水準のオールインワンＭＩＣＥ拠点の形成により大阪・関西の経済活性化と都市魅力の向上につなげていきます。</w:t>
            </w:r>
          </w:p>
        </w:tc>
      </w:tr>
      <w:tr w:rsidR="0034417C" w14:paraId="5ABAA868" w14:textId="77777777" w:rsidTr="00DF121A">
        <w:trPr>
          <w:trHeight w:val="2965"/>
        </w:trPr>
        <w:tc>
          <w:tcPr>
            <w:tcW w:w="704" w:type="dxa"/>
          </w:tcPr>
          <w:p w14:paraId="2D23E41E" w14:textId="33A69C35" w:rsidR="0034417C" w:rsidRPr="0097787D" w:rsidRDefault="00162646" w:rsidP="000411BF">
            <w:pPr>
              <w:jc w:val="center"/>
              <w:rPr>
                <w:sz w:val="20"/>
                <w:szCs w:val="20"/>
              </w:rPr>
            </w:pPr>
            <w:r>
              <w:rPr>
                <w:rFonts w:hint="eastAsia"/>
                <w:sz w:val="20"/>
                <w:szCs w:val="20"/>
              </w:rPr>
              <w:t>4</w:t>
            </w:r>
          </w:p>
        </w:tc>
        <w:tc>
          <w:tcPr>
            <w:tcW w:w="5528" w:type="dxa"/>
          </w:tcPr>
          <w:p w14:paraId="4B26D256" w14:textId="77777777" w:rsidR="0034417C" w:rsidRDefault="00162646" w:rsidP="00162646">
            <w:pPr>
              <w:ind w:firstLineChars="100" w:firstLine="200"/>
              <w:rPr>
                <w:sz w:val="20"/>
                <w:szCs w:val="20"/>
              </w:rPr>
            </w:pPr>
            <w:r w:rsidRPr="00162646">
              <w:rPr>
                <w:rFonts w:hint="eastAsia"/>
                <w:sz w:val="20"/>
                <w:szCs w:val="20"/>
              </w:rPr>
              <w:t>ランドマーク性のある空間形成は？</w:t>
            </w:r>
          </w:p>
          <w:p w14:paraId="1C3096FF" w14:textId="77777777" w:rsidR="00597074" w:rsidRDefault="00597074" w:rsidP="00162646">
            <w:pPr>
              <w:ind w:firstLineChars="100" w:firstLine="200"/>
              <w:rPr>
                <w:sz w:val="20"/>
                <w:szCs w:val="20"/>
              </w:rPr>
            </w:pPr>
          </w:p>
          <w:p w14:paraId="54F30D1E" w14:textId="1A724D91" w:rsidR="00597074" w:rsidRPr="00162646" w:rsidRDefault="00597074" w:rsidP="00162646">
            <w:pPr>
              <w:ind w:firstLineChars="100" w:firstLine="200"/>
              <w:rPr>
                <w:sz w:val="20"/>
                <w:szCs w:val="20"/>
              </w:rPr>
            </w:pPr>
          </w:p>
        </w:tc>
        <w:tc>
          <w:tcPr>
            <w:tcW w:w="9214" w:type="dxa"/>
          </w:tcPr>
          <w:p w14:paraId="209CB5AA" w14:textId="77777777" w:rsidR="00562C50" w:rsidRPr="00562C50" w:rsidRDefault="00562C50" w:rsidP="00562C50">
            <w:pPr>
              <w:ind w:firstLineChars="100" w:firstLine="200"/>
              <w:rPr>
                <w:sz w:val="20"/>
                <w:szCs w:val="20"/>
              </w:rPr>
            </w:pPr>
            <w:r w:rsidRPr="00562C50">
              <w:rPr>
                <w:sz w:val="20"/>
                <w:szCs w:val="20"/>
              </w:rPr>
              <w:t>大阪ＩＲ</w:t>
            </w:r>
            <w:r w:rsidRPr="00562C50">
              <w:rPr>
                <w:rFonts w:hint="eastAsia"/>
                <w:sz w:val="20"/>
                <w:szCs w:val="20"/>
              </w:rPr>
              <w:t>では</w:t>
            </w:r>
            <w:r w:rsidRPr="00562C50">
              <w:rPr>
                <w:sz w:val="20"/>
                <w:szCs w:val="20"/>
              </w:rPr>
              <w:t>「結びの水都」を</w:t>
            </w:r>
            <w:r w:rsidRPr="00562C50">
              <w:rPr>
                <w:rFonts w:hint="eastAsia"/>
                <w:sz w:val="20"/>
                <w:szCs w:val="20"/>
              </w:rPr>
              <w:t>コンセプトとしており、水やみどりの要素を随所に取り入れたランドマーク性のある空間形成を行うこととしています。</w:t>
            </w:r>
          </w:p>
          <w:p w14:paraId="0B4B16E9" w14:textId="17BD4306" w:rsidR="00596C32" w:rsidRPr="00216053" w:rsidRDefault="00562C50" w:rsidP="00D24697">
            <w:pPr>
              <w:ind w:firstLineChars="100" w:firstLine="200"/>
              <w:rPr>
                <w:sz w:val="20"/>
                <w:szCs w:val="20"/>
              </w:rPr>
            </w:pPr>
            <w:r w:rsidRPr="00562C50">
              <w:rPr>
                <w:sz w:val="20"/>
                <w:szCs w:val="20"/>
              </w:rPr>
              <w:t>空間全体で具現化</w:t>
            </w:r>
            <w:r w:rsidRPr="00562C50">
              <w:rPr>
                <w:rFonts w:hint="eastAsia"/>
                <w:sz w:val="20"/>
                <w:szCs w:val="20"/>
              </w:rPr>
              <w:t>できるよう、</w:t>
            </w:r>
            <w:r w:rsidRPr="00562C50">
              <w:rPr>
                <w:sz w:val="20"/>
                <w:szCs w:val="20"/>
              </w:rPr>
              <w:t>水やみどりの自然の景色を随所に取り入れ、個性的な建築群とその外観に統一感をもたらすデザイン上の工夫によって、独創的かつ景観調和の図られた空間形成を図る</w:t>
            </w:r>
            <w:r w:rsidRPr="00562C50">
              <w:rPr>
                <w:rFonts w:hint="eastAsia"/>
                <w:sz w:val="20"/>
                <w:szCs w:val="20"/>
              </w:rPr>
              <w:t>とともに、</w:t>
            </w:r>
            <w:r w:rsidRPr="00562C50">
              <w:rPr>
                <w:sz w:val="20"/>
                <w:szCs w:val="20"/>
              </w:rPr>
              <w:t>各建築物の内装については、その機能・用途に応じて、施設内部での体験価値を最大化する個別のストーリーを設定し、これに沿ったカラースキーム・材料等を採用することで、来訪者が視覚的に空間を楽しめ、大阪ＩＲでの滞在をより印象的なものとするような空間形成を図</w:t>
            </w:r>
            <w:r w:rsidRPr="00562C50">
              <w:rPr>
                <w:rFonts w:hint="eastAsia"/>
                <w:sz w:val="20"/>
                <w:szCs w:val="20"/>
              </w:rPr>
              <w:t>ります。</w:t>
            </w:r>
          </w:p>
        </w:tc>
      </w:tr>
      <w:tr w:rsidR="00E04E6F" w14:paraId="71368FD1" w14:textId="77777777" w:rsidTr="00DF121A">
        <w:trPr>
          <w:trHeight w:val="2823"/>
        </w:trPr>
        <w:tc>
          <w:tcPr>
            <w:tcW w:w="704" w:type="dxa"/>
          </w:tcPr>
          <w:p w14:paraId="5360EE30" w14:textId="60C22023" w:rsidR="00E04E6F" w:rsidRDefault="00162646" w:rsidP="000411BF">
            <w:pPr>
              <w:jc w:val="center"/>
              <w:rPr>
                <w:sz w:val="20"/>
                <w:szCs w:val="20"/>
              </w:rPr>
            </w:pPr>
            <w:r>
              <w:rPr>
                <w:rFonts w:hint="eastAsia"/>
                <w:sz w:val="20"/>
                <w:szCs w:val="20"/>
              </w:rPr>
              <w:t>5</w:t>
            </w:r>
          </w:p>
        </w:tc>
        <w:tc>
          <w:tcPr>
            <w:tcW w:w="5528" w:type="dxa"/>
          </w:tcPr>
          <w:p w14:paraId="409437A8" w14:textId="77777777" w:rsidR="00E04E6F" w:rsidRDefault="00162646" w:rsidP="00350135">
            <w:pPr>
              <w:ind w:firstLineChars="100" w:firstLine="200"/>
              <w:rPr>
                <w:sz w:val="20"/>
                <w:szCs w:val="20"/>
              </w:rPr>
            </w:pPr>
            <w:r w:rsidRPr="00162646">
              <w:rPr>
                <w:sz w:val="20"/>
                <w:szCs w:val="20"/>
              </w:rPr>
              <w:t>MGMって中国系？</w:t>
            </w:r>
          </w:p>
          <w:p w14:paraId="4843E985" w14:textId="77777777" w:rsidR="00597074" w:rsidRDefault="00597074" w:rsidP="00350135">
            <w:pPr>
              <w:ind w:firstLineChars="100" w:firstLine="200"/>
              <w:rPr>
                <w:sz w:val="20"/>
                <w:szCs w:val="20"/>
              </w:rPr>
            </w:pPr>
          </w:p>
          <w:p w14:paraId="489E97C1" w14:textId="5E9BF792" w:rsidR="00597074" w:rsidRPr="00747CA1" w:rsidRDefault="00597074" w:rsidP="00350135">
            <w:pPr>
              <w:ind w:firstLineChars="100" w:firstLine="200"/>
              <w:rPr>
                <w:sz w:val="20"/>
                <w:szCs w:val="20"/>
              </w:rPr>
            </w:pPr>
          </w:p>
        </w:tc>
        <w:tc>
          <w:tcPr>
            <w:tcW w:w="9214" w:type="dxa"/>
          </w:tcPr>
          <w:p w14:paraId="2DF40E16" w14:textId="52C10230" w:rsidR="000D063E" w:rsidRPr="000D063E" w:rsidRDefault="000D063E" w:rsidP="000D063E">
            <w:pPr>
              <w:ind w:firstLineChars="100" w:firstLine="200"/>
              <w:rPr>
                <w:sz w:val="20"/>
                <w:szCs w:val="20"/>
              </w:rPr>
            </w:pPr>
            <w:r w:rsidRPr="000D063E">
              <w:rPr>
                <w:rFonts w:hint="eastAsia"/>
                <w:sz w:val="20"/>
                <w:szCs w:val="20"/>
              </w:rPr>
              <w:t>大阪ＩＲの事業者であるＭＧＭ大阪株式会社の構成員は、中核株主となる合同会社日本ＭＧＭリゾーツとオリックス株式会社、そして関西の地元企業を中心とする少数株主</w:t>
            </w:r>
            <w:r w:rsidRPr="000D063E">
              <w:rPr>
                <w:sz w:val="20"/>
                <w:szCs w:val="20"/>
              </w:rPr>
              <w:t>22社から構成されています。</w:t>
            </w:r>
          </w:p>
          <w:p w14:paraId="0730ABAC" w14:textId="62B25332" w:rsidR="00E04E6F" w:rsidRDefault="000D063E" w:rsidP="000D063E">
            <w:pPr>
              <w:ind w:firstLineChars="100" w:firstLine="200"/>
              <w:rPr>
                <w:sz w:val="20"/>
                <w:szCs w:val="20"/>
              </w:rPr>
            </w:pPr>
            <w:r w:rsidRPr="000D063E">
              <w:rPr>
                <w:rFonts w:hint="eastAsia"/>
                <w:sz w:val="20"/>
                <w:szCs w:val="20"/>
              </w:rPr>
              <w:t>また、日本ＭＧＭリゾーツの親会社であるＭＧＭリゾーツ・インターナショナルは、米国に本社を置き、ラスベガスにおける最大のＭＩＣＥオペレーターであり、世界</w:t>
            </w:r>
            <w:r w:rsidRPr="000D063E">
              <w:rPr>
                <w:sz w:val="20"/>
                <w:szCs w:val="20"/>
              </w:rPr>
              <w:t>35か所でエンターテイメント施設を運営しています。</w:t>
            </w:r>
          </w:p>
        </w:tc>
      </w:tr>
      <w:tr w:rsidR="0034417C" w14:paraId="3FEA6F3D" w14:textId="77777777" w:rsidTr="00713A2E">
        <w:trPr>
          <w:trHeight w:val="5604"/>
        </w:trPr>
        <w:tc>
          <w:tcPr>
            <w:tcW w:w="704" w:type="dxa"/>
          </w:tcPr>
          <w:p w14:paraId="78BD9247" w14:textId="4DCDE909" w:rsidR="0034417C" w:rsidRPr="0097787D" w:rsidRDefault="00162646" w:rsidP="000411BF">
            <w:pPr>
              <w:jc w:val="center"/>
              <w:rPr>
                <w:sz w:val="20"/>
                <w:szCs w:val="20"/>
              </w:rPr>
            </w:pPr>
            <w:r>
              <w:rPr>
                <w:rFonts w:hint="eastAsia"/>
                <w:sz w:val="20"/>
                <w:szCs w:val="20"/>
              </w:rPr>
              <w:lastRenderedPageBreak/>
              <w:t>6</w:t>
            </w:r>
          </w:p>
        </w:tc>
        <w:tc>
          <w:tcPr>
            <w:tcW w:w="5528" w:type="dxa"/>
          </w:tcPr>
          <w:p w14:paraId="1BA1950C" w14:textId="30A95C0D" w:rsidR="00597074" w:rsidRDefault="00162646" w:rsidP="00713A2E">
            <w:pPr>
              <w:ind w:firstLineChars="100" w:firstLine="200"/>
              <w:rPr>
                <w:sz w:val="20"/>
                <w:szCs w:val="20"/>
              </w:rPr>
            </w:pPr>
            <w:r w:rsidRPr="00162646">
              <w:rPr>
                <w:rFonts w:hint="eastAsia"/>
                <w:sz w:val="20"/>
                <w:szCs w:val="20"/>
              </w:rPr>
              <w:t>地元経済を活性化する具体的な施策は何を計画していますか？</w:t>
            </w:r>
          </w:p>
        </w:tc>
        <w:tc>
          <w:tcPr>
            <w:tcW w:w="9214" w:type="dxa"/>
          </w:tcPr>
          <w:p w14:paraId="71B20320" w14:textId="2843575B" w:rsidR="007A10C7" w:rsidRPr="00320F65" w:rsidRDefault="00F92CE2" w:rsidP="007A10C7">
            <w:pPr>
              <w:rPr>
                <w:sz w:val="20"/>
                <w:szCs w:val="20"/>
              </w:rPr>
            </w:pPr>
            <w:r>
              <w:rPr>
                <w:rFonts w:hint="eastAsia"/>
                <w:sz w:val="20"/>
                <w:szCs w:val="20"/>
              </w:rPr>
              <w:t xml:space="preserve">　</w:t>
            </w:r>
            <w:r w:rsidR="007A10C7">
              <w:rPr>
                <w:rFonts w:hint="eastAsia"/>
                <w:sz w:val="20"/>
                <w:szCs w:val="20"/>
              </w:rPr>
              <w:t>大阪ＩＲでは、地域の金融機関との連携を通じて、資金面や情報面での支援を提供し、中小企業による大阪ＩＲとの取引関係構築の支援に取り組み、地元企業・中小企業に対して大阪ＩＲへの参入機会を提供し、大阪ＩＲと取引関係を構築する事業者の裾野を</w:t>
            </w:r>
            <w:r w:rsidR="00B71342">
              <w:rPr>
                <w:rFonts w:hint="eastAsia"/>
                <w:sz w:val="20"/>
                <w:szCs w:val="20"/>
              </w:rPr>
              <w:t>広</w:t>
            </w:r>
            <w:r w:rsidR="007A10C7">
              <w:rPr>
                <w:rFonts w:hint="eastAsia"/>
                <w:sz w:val="20"/>
                <w:szCs w:val="20"/>
              </w:rPr>
              <w:t>げるとともに、地元からの調達促進を図っていきます。加えて、地元産品の継続的な調達を通じて、地元企業と持続的な取引を行い、その発展に寄与するとともに、調達先の選定においては、地域の金融機関や経済団体等と連携し、地元企業から積極的な調達を行うこととして</w:t>
            </w:r>
            <w:r w:rsidR="00BE379D">
              <w:rPr>
                <w:rFonts w:hint="eastAsia"/>
                <w:sz w:val="20"/>
                <w:szCs w:val="20"/>
              </w:rPr>
              <w:t>います</w:t>
            </w:r>
            <w:r w:rsidR="007A10C7">
              <w:rPr>
                <w:rFonts w:hint="eastAsia"/>
                <w:sz w:val="20"/>
                <w:szCs w:val="20"/>
              </w:rPr>
              <w:t>。</w:t>
            </w:r>
          </w:p>
          <w:p w14:paraId="552ECEE5" w14:textId="77777777" w:rsidR="007A10C7" w:rsidRPr="00320F65" w:rsidRDefault="007A10C7" w:rsidP="007A10C7">
            <w:pPr>
              <w:ind w:firstLineChars="100" w:firstLine="200"/>
              <w:rPr>
                <w:sz w:val="20"/>
                <w:szCs w:val="20"/>
              </w:rPr>
            </w:pPr>
            <w:r w:rsidRPr="00320F65">
              <w:rPr>
                <w:rFonts w:hint="eastAsia"/>
                <w:sz w:val="20"/>
                <w:szCs w:val="20"/>
              </w:rPr>
              <w:t>ＭＩＣＥ施設に</w:t>
            </w:r>
            <w:r>
              <w:rPr>
                <w:rFonts w:hint="eastAsia"/>
                <w:sz w:val="20"/>
                <w:szCs w:val="20"/>
              </w:rPr>
              <w:t>おいては、</w:t>
            </w:r>
            <w:r w:rsidRPr="00320F65">
              <w:rPr>
                <w:rFonts w:hint="eastAsia"/>
                <w:sz w:val="20"/>
                <w:szCs w:val="20"/>
              </w:rPr>
              <w:t>「関西イノベーション・ラボ」を設置し、イノベーションの創出やビジネスの国際化の支援などに取り組むとともに、魅力増進施設として設置する「関西ジャパンハウス」では、大阪・関西の伝統産業の発信による地域資源の発掘を、「ジャパン・フードパビリオン」では、豊かな食文化の発信等により地域ブランディングの向上などを図</w:t>
            </w:r>
            <w:r>
              <w:rPr>
                <w:rFonts w:hint="eastAsia"/>
                <w:sz w:val="20"/>
                <w:szCs w:val="20"/>
              </w:rPr>
              <w:t>ります</w:t>
            </w:r>
            <w:r w:rsidRPr="00320F65">
              <w:rPr>
                <w:rFonts w:hint="eastAsia"/>
                <w:sz w:val="20"/>
                <w:szCs w:val="20"/>
              </w:rPr>
              <w:t>。</w:t>
            </w:r>
          </w:p>
          <w:p w14:paraId="20DFAC87" w14:textId="48CFAA01" w:rsidR="00596C32" w:rsidRPr="00713A2E" w:rsidRDefault="007A10C7" w:rsidP="00713A2E">
            <w:pPr>
              <w:ind w:firstLineChars="100" w:firstLine="200"/>
              <w:rPr>
                <w:color w:val="FF0000"/>
                <w:sz w:val="20"/>
                <w:szCs w:val="20"/>
              </w:rPr>
            </w:pPr>
            <w:r>
              <w:rPr>
                <w:rFonts w:hint="eastAsia"/>
                <w:sz w:val="20"/>
                <w:szCs w:val="20"/>
              </w:rPr>
              <w:t>また、大阪</w:t>
            </w:r>
            <w:r w:rsidRPr="00320F65">
              <w:rPr>
                <w:rFonts w:hint="eastAsia"/>
                <w:sz w:val="20"/>
                <w:szCs w:val="20"/>
              </w:rPr>
              <w:t>ＩＲが導入する会員ポイントプログラムの活用など、ＩＲ来訪者の地域への送客や周遊促進、地域での消費喚起を図</w:t>
            </w:r>
            <w:r>
              <w:rPr>
                <w:rFonts w:hint="eastAsia"/>
                <w:sz w:val="20"/>
                <w:szCs w:val="20"/>
              </w:rPr>
              <w:t>っていくこととしています。</w:t>
            </w:r>
          </w:p>
        </w:tc>
      </w:tr>
      <w:tr w:rsidR="0034417C" w14:paraId="7B9A1DBF" w14:textId="77777777" w:rsidTr="00DF121A">
        <w:trPr>
          <w:trHeight w:val="3117"/>
        </w:trPr>
        <w:tc>
          <w:tcPr>
            <w:tcW w:w="704" w:type="dxa"/>
          </w:tcPr>
          <w:p w14:paraId="249821F6" w14:textId="00D23570" w:rsidR="0034417C" w:rsidRPr="0097787D" w:rsidRDefault="00162646" w:rsidP="000411BF">
            <w:pPr>
              <w:jc w:val="center"/>
              <w:rPr>
                <w:sz w:val="20"/>
                <w:szCs w:val="20"/>
              </w:rPr>
            </w:pPr>
            <w:r>
              <w:rPr>
                <w:rFonts w:hint="eastAsia"/>
                <w:sz w:val="20"/>
                <w:szCs w:val="20"/>
              </w:rPr>
              <w:t>7</w:t>
            </w:r>
          </w:p>
        </w:tc>
        <w:tc>
          <w:tcPr>
            <w:tcW w:w="5528" w:type="dxa"/>
          </w:tcPr>
          <w:p w14:paraId="7B5B9CD3" w14:textId="61B9D190" w:rsidR="00597074" w:rsidRDefault="00162646" w:rsidP="00713A2E">
            <w:pPr>
              <w:ind w:firstLineChars="100" w:firstLine="200"/>
              <w:rPr>
                <w:sz w:val="20"/>
                <w:szCs w:val="20"/>
              </w:rPr>
            </w:pPr>
            <w:r w:rsidRPr="00162646">
              <w:rPr>
                <w:rFonts w:hint="eastAsia"/>
                <w:sz w:val="20"/>
                <w:szCs w:val="20"/>
              </w:rPr>
              <w:t>宝くじや競馬、競輪のように地元公益法人の要望、ニーズに応じて地域還元する計画はありますか？</w:t>
            </w:r>
          </w:p>
        </w:tc>
        <w:tc>
          <w:tcPr>
            <w:tcW w:w="9214" w:type="dxa"/>
          </w:tcPr>
          <w:p w14:paraId="049C4F48" w14:textId="2D80FF52" w:rsidR="003E0AED" w:rsidRPr="00713A2E" w:rsidRDefault="00562C50" w:rsidP="00713A2E">
            <w:pPr>
              <w:ind w:firstLineChars="100" w:firstLine="200"/>
              <w:rPr>
                <w:color w:val="000000" w:themeColor="text1"/>
                <w:sz w:val="20"/>
                <w:szCs w:val="20"/>
              </w:rPr>
            </w:pPr>
            <w:r w:rsidRPr="00562C50">
              <w:rPr>
                <w:sz w:val="20"/>
                <w:szCs w:val="20"/>
              </w:rPr>
              <w:t>納付金</w:t>
            </w:r>
            <w:r w:rsidRPr="00562C50">
              <w:rPr>
                <w:rFonts w:hint="eastAsia"/>
                <w:sz w:val="20"/>
                <w:szCs w:val="20"/>
              </w:rPr>
              <w:t>等</w:t>
            </w:r>
            <w:r w:rsidRPr="00562C50">
              <w:rPr>
                <w:sz w:val="20"/>
                <w:szCs w:val="20"/>
              </w:rPr>
              <w:t>については、</w:t>
            </w:r>
            <w:r w:rsidRPr="00562C50">
              <w:rPr>
                <w:rFonts w:hint="eastAsia"/>
                <w:sz w:val="20"/>
                <w:szCs w:val="20"/>
              </w:rPr>
              <w:t>大阪府・市で年間1</w:t>
            </w:r>
            <w:r w:rsidRPr="00562C50">
              <w:rPr>
                <w:sz w:val="20"/>
                <w:szCs w:val="20"/>
              </w:rPr>
              <w:t>,</w:t>
            </w:r>
            <w:r w:rsidRPr="00562C50">
              <w:rPr>
                <w:rFonts w:hint="eastAsia"/>
                <w:sz w:val="20"/>
                <w:szCs w:val="20"/>
              </w:rPr>
              <w:t>060億円を見込んでいますが、</w:t>
            </w:r>
            <w:r w:rsidRPr="00562C50">
              <w:rPr>
                <w:sz w:val="20"/>
                <w:szCs w:val="20"/>
              </w:rPr>
              <w:t>ギャンブル等依存症対策等への必要経費として約55億円を充当するなど、懸念事項に万全の対策を講じた上で、子育て、教育環境の充実、健康、医療等の社会福祉の増進に関する施策、夢洲及び夢洲周辺の魅⼒向上、観光・地域経済・文化芸術の振興に関する施策等</w:t>
            </w:r>
            <w:r w:rsidRPr="00562C50">
              <w:rPr>
                <w:rFonts w:hint="eastAsia"/>
                <w:sz w:val="20"/>
                <w:szCs w:val="20"/>
              </w:rPr>
              <w:t>など、</w:t>
            </w:r>
            <w:r w:rsidRPr="00562C50">
              <w:rPr>
                <w:sz w:val="20"/>
                <w:szCs w:val="20"/>
              </w:rPr>
              <w:t>府⺠・市⺠の暮らしの充実や次の大阪の成長に向けた投資に活用することとして</w:t>
            </w:r>
            <w:r w:rsidRPr="00562C50">
              <w:rPr>
                <w:rFonts w:hint="eastAsia"/>
                <w:sz w:val="20"/>
                <w:szCs w:val="20"/>
              </w:rPr>
              <w:t>います。</w:t>
            </w:r>
          </w:p>
        </w:tc>
      </w:tr>
      <w:tr w:rsidR="0034417C" w14:paraId="3964D8FD" w14:textId="77777777" w:rsidTr="00713A2E">
        <w:trPr>
          <w:trHeight w:val="2060"/>
        </w:trPr>
        <w:tc>
          <w:tcPr>
            <w:tcW w:w="704" w:type="dxa"/>
          </w:tcPr>
          <w:p w14:paraId="09E457D1" w14:textId="36DC403E" w:rsidR="0034417C" w:rsidRPr="0097787D" w:rsidRDefault="00162646" w:rsidP="000411BF">
            <w:pPr>
              <w:jc w:val="center"/>
              <w:rPr>
                <w:sz w:val="20"/>
                <w:szCs w:val="20"/>
              </w:rPr>
            </w:pPr>
            <w:r>
              <w:rPr>
                <w:rFonts w:hint="eastAsia"/>
                <w:sz w:val="20"/>
                <w:szCs w:val="20"/>
              </w:rPr>
              <w:lastRenderedPageBreak/>
              <w:t>8</w:t>
            </w:r>
          </w:p>
        </w:tc>
        <w:tc>
          <w:tcPr>
            <w:tcW w:w="5528" w:type="dxa"/>
          </w:tcPr>
          <w:p w14:paraId="1809AF51" w14:textId="10D10ED3" w:rsidR="00F64E9A" w:rsidRPr="0079452F" w:rsidRDefault="007E2724" w:rsidP="00713A2E">
            <w:pPr>
              <w:ind w:firstLineChars="100" w:firstLine="200"/>
              <w:rPr>
                <w:sz w:val="20"/>
                <w:szCs w:val="20"/>
              </w:rPr>
            </w:pPr>
            <w:r w:rsidRPr="00393317">
              <w:rPr>
                <w:rFonts w:hint="eastAsia"/>
                <w:sz w:val="20"/>
                <w:szCs w:val="20"/>
              </w:rPr>
              <w:t>質問。</w:t>
            </w:r>
            <w:r w:rsidR="00162646" w:rsidRPr="0079452F">
              <w:rPr>
                <w:rFonts w:hint="eastAsia"/>
                <w:sz w:val="20"/>
                <w:szCs w:val="20"/>
              </w:rPr>
              <w:t>そもそも夢洲は</w:t>
            </w:r>
            <w:r w:rsidR="00162646" w:rsidRPr="0079452F">
              <w:rPr>
                <w:sz w:val="20"/>
                <w:szCs w:val="20"/>
              </w:rPr>
              <w:t>1970年後半にゴミの最終処分場として埋め立てられたもので、2025年には50年もの時期となっている。P13に地盤沈下対策（50年後の地盤高でも想定以上の津波</w:t>
            </w:r>
            <w:r w:rsidR="001A19C8" w:rsidRPr="0079452F">
              <w:rPr>
                <w:rFonts w:hint="eastAsia"/>
                <w:sz w:val="20"/>
                <w:szCs w:val="20"/>
              </w:rPr>
              <w:t>に</w:t>
            </w:r>
            <w:r w:rsidR="00162646" w:rsidRPr="0079452F">
              <w:rPr>
                <w:sz w:val="20"/>
                <w:szCs w:val="20"/>
              </w:rPr>
              <w:t>対応・・・）となっていることから劣化があり、崩壊しているものと思われる。</w:t>
            </w:r>
          </w:p>
        </w:tc>
        <w:tc>
          <w:tcPr>
            <w:tcW w:w="9214" w:type="dxa"/>
          </w:tcPr>
          <w:p w14:paraId="05022F71" w14:textId="35E944DC" w:rsidR="00EE11A9" w:rsidRDefault="00EE11A9" w:rsidP="00EE11A9">
            <w:pPr>
              <w:ind w:firstLineChars="100" w:firstLine="200"/>
              <w:rPr>
                <w:sz w:val="20"/>
                <w:szCs w:val="20"/>
              </w:rPr>
            </w:pPr>
            <w:r>
              <w:rPr>
                <w:rFonts w:hint="eastAsia"/>
                <w:sz w:val="20"/>
                <w:szCs w:val="20"/>
              </w:rPr>
              <w:t>夢洲では昭和5</w:t>
            </w:r>
            <w:r>
              <w:rPr>
                <w:sz w:val="20"/>
                <w:szCs w:val="20"/>
              </w:rPr>
              <w:t>2</w:t>
            </w:r>
            <w:r>
              <w:rPr>
                <w:rFonts w:hint="eastAsia"/>
                <w:sz w:val="20"/>
                <w:szCs w:val="20"/>
              </w:rPr>
              <w:t>（1977）</w:t>
            </w:r>
            <w:r w:rsidRPr="00EE11A9">
              <w:rPr>
                <w:rFonts w:hint="eastAsia"/>
                <w:sz w:val="20"/>
                <w:szCs w:val="20"/>
              </w:rPr>
              <w:t>年の公有水面埋立法に基づく埋立免許取得後、埋立てが行わ</w:t>
            </w:r>
            <w:r>
              <w:rPr>
                <w:rFonts w:hint="eastAsia"/>
                <w:sz w:val="20"/>
                <w:szCs w:val="20"/>
              </w:rPr>
              <w:t>れ、ＩＲ区域が位置する夢洲3区は、平成22（2010）年及び令和元（2019）年に完了しています。</w:t>
            </w:r>
          </w:p>
          <w:p w14:paraId="4697675B" w14:textId="3E354F11" w:rsidR="0034417C" w:rsidRPr="0079452F" w:rsidRDefault="00EE11A9" w:rsidP="00EE11A9">
            <w:pPr>
              <w:ind w:firstLineChars="100" w:firstLine="200"/>
              <w:rPr>
                <w:sz w:val="20"/>
                <w:szCs w:val="20"/>
              </w:rPr>
            </w:pPr>
            <w:r w:rsidRPr="005535FA">
              <w:rPr>
                <w:rFonts w:hint="eastAsia"/>
                <w:sz w:val="20"/>
                <w:szCs w:val="20"/>
              </w:rPr>
              <w:t>ＩＲ区域の現状地盤高さは</w:t>
            </w:r>
            <w:r w:rsidRPr="005535FA">
              <w:rPr>
                <w:sz w:val="20"/>
                <w:szCs w:val="20"/>
              </w:rPr>
              <w:t>O.P.+11ｍ程度で、</w:t>
            </w:r>
            <w:r>
              <w:rPr>
                <w:rFonts w:hint="eastAsia"/>
                <w:sz w:val="20"/>
                <w:szCs w:val="20"/>
              </w:rPr>
              <w:t>埋立完了後の</w:t>
            </w:r>
            <w:r w:rsidRPr="005535FA">
              <w:rPr>
                <w:sz w:val="20"/>
                <w:szCs w:val="20"/>
              </w:rPr>
              <w:t>地盤沈下を見込んだ50年後でも、地盤高さはO.P.+９ｍ程度であると推定しており、満潮時の南海トラフ巨大地震における夢洲周辺での津波予測高さO.P.＋5.4mや高潮時の潮位O.P.＋7.3mに対しても、十分な地盤高さを確保しています</w:t>
            </w:r>
            <w:r>
              <w:rPr>
                <w:rFonts w:hint="eastAsia"/>
                <w:sz w:val="20"/>
                <w:szCs w:val="20"/>
              </w:rPr>
              <w:t>。</w:t>
            </w:r>
          </w:p>
        </w:tc>
      </w:tr>
      <w:tr w:rsidR="0034417C" w14:paraId="408D6872" w14:textId="77777777" w:rsidTr="00713A2E">
        <w:trPr>
          <w:trHeight w:val="1127"/>
        </w:trPr>
        <w:tc>
          <w:tcPr>
            <w:tcW w:w="704" w:type="dxa"/>
          </w:tcPr>
          <w:p w14:paraId="399CFDA2" w14:textId="2726C288" w:rsidR="0034417C" w:rsidRPr="0097787D" w:rsidRDefault="00162646" w:rsidP="000411BF">
            <w:pPr>
              <w:jc w:val="center"/>
              <w:rPr>
                <w:sz w:val="20"/>
                <w:szCs w:val="20"/>
              </w:rPr>
            </w:pPr>
            <w:r>
              <w:rPr>
                <w:rFonts w:hint="eastAsia"/>
                <w:sz w:val="20"/>
                <w:szCs w:val="20"/>
              </w:rPr>
              <w:t>9</w:t>
            </w:r>
          </w:p>
        </w:tc>
        <w:tc>
          <w:tcPr>
            <w:tcW w:w="5528" w:type="dxa"/>
            <w:shd w:val="clear" w:color="auto" w:fill="FFFFFF" w:themeFill="background1"/>
          </w:tcPr>
          <w:p w14:paraId="56BB1022" w14:textId="387DED34" w:rsidR="0034417C" w:rsidRPr="0079452F" w:rsidRDefault="00162646" w:rsidP="003B0DCE">
            <w:pPr>
              <w:ind w:firstLineChars="100" w:firstLine="200"/>
              <w:rPr>
                <w:sz w:val="20"/>
                <w:szCs w:val="20"/>
              </w:rPr>
            </w:pPr>
            <w:r w:rsidRPr="0079452F">
              <w:rPr>
                <w:rFonts w:hint="eastAsia"/>
                <w:sz w:val="20"/>
                <w:szCs w:val="20"/>
              </w:rPr>
              <w:t>「依存症対策センター」は、どこに、何人規模で作られるのか？</w:t>
            </w:r>
          </w:p>
        </w:tc>
        <w:tc>
          <w:tcPr>
            <w:tcW w:w="9214" w:type="dxa"/>
            <w:shd w:val="clear" w:color="auto" w:fill="FFFFFF" w:themeFill="background1"/>
          </w:tcPr>
          <w:p w14:paraId="6166D1D9" w14:textId="1C254478" w:rsidR="00F94A0D" w:rsidRPr="0079452F" w:rsidRDefault="00D17D96" w:rsidP="00654E6C">
            <w:pPr>
              <w:ind w:firstLineChars="100" w:firstLine="200"/>
              <w:rPr>
                <w:sz w:val="20"/>
                <w:szCs w:val="20"/>
              </w:rPr>
            </w:pPr>
            <w:r w:rsidRPr="0079452F">
              <w:rPr>
                <w:rFonts w:hint="eastAsia"/>
                <w:sz w:val="20"/>
                <w:szCs w:val="20"/>
              </w:rPr>
              <w:t>（仮称）大阪依存症対策センターについては、今後、策定予定の基本計画のなかで、センター開設に向けたロードマップや、設置場所</w:t>
            </w:r>
            <w:r w:rsidR="00F14F3C">
              <w:rPr>
                <w:rFonts w:hint="eastAsia"/>
                <w:sz w:val="20"/>
                <w:szCs w:val="20"/>
              </w:rPr>
              <w:t>（交通至便な場所）</w:t>
            </w:r>
            <w:r w:rsidRPr="0079452F">
              <w:rPr>
                <w:rFonts w:hint="eastAsia"/>
                <w:sz w:val="20"/>
                <w:szCs w:val="20"/>
              </w:rPr>
              <w:t>の選定、人員体制の強化などを検討し、試行実施などを繰り返しながら、必要な準備をスピード感もって進めていくことになっています。</w:t>
            </w:r>
          </w:p>
        </w:tc>
      </w:tr>
      <w:tr w:rsidR="0034417C" w14:paraId="37A9AD76" w14:textId="77777777" w:rsidTr="00713A2E">
        <w:trPr>
          <w:trHeight w:val="3664"/>
        </w:trPr>
        <w:tc>
          <w:tcPr>
            <w:tcW w:w="704" w:type="dxa"/>
          </w:tcPr>
          <w:p w14:paraId="5F166B53" w14:textId="12A9F363" w:rsidR="0034417C" w:rsidRDefault="00162646" w:rsidP="000411BF">
            <w:pPr>
              <w:jc w:val="center"/>
              <w:rPr>
                <w:sz w:val="20"/>
                <w:szCs w:val="20"/>
              </w:rPr>
            </w:pPr>
            <w:r>
              <w:rPr>
                <w:rFonts w:hint="eastAsia"/>
                <w:sz w:val="20"/>
                <w:szCs w:val="20"/>
              </w:rPr>
              <w:t>1</w:t>
            </w:r>
            <w:r>
              <w:rPr>
                <w:sz w:val="20"/>
                <w:szCs w:val="20"/>
              </w:rPr>
              <w:t>0</w:t>
            </w:r>
          </w:p>
        </w:tc>
        <w:tc>
          <w:tcPr>
            <w:tcW w:w="5528" w:type="dxa"/>
          </w:tcPr>
          <w:p w14:paraId="78EF636B" w14:textId="77777777" w:rsidR="0034417C" w:rsidRPr="0079452F" w:rsidRDefault="00162646" w:rsidP="003B0DCE">
            <w:pPr>
              <w:ind w:firstLineChars="100" w:firstLine="200"/>
              <w:rPr>
                <w:sz w:val="20"/>
                <w:szCs w:val="20"/>
              </w:rPr>
            </w:pPr>
            <w:r w:rsidRPr="0079452F">
              <w:rPr>
                <w:rFonts w:hint="eastAsia"/>
                <w:sz w:val="20"/>
                <w:szCs w:val="20"/>
              </w:rPr>
              <w:t>オンラインカジノが急速に伸びているが、ランド・カジノで採算がとれるのか？</w:t>
            </w:r>
          </w:p>
          <w:p w14:paraId="4FD2B819" w14:textId="77777777" w:rsidR="00F64E9A" w:rsidRPr="0079452F" w:rsidRDefault="00F64E9A" w:rsidP="003B0DCE">
            <w:pPr>
              <w:ind w:firstLineChars="100" w:firstLine="200"/>
              <w:rPr>
                <w:sz w:val="20"/>
                <w:szCs w:val="20"/>
              </w:rPr>
            </w:pPr>
          </w:p>
          <w:p w14:paraId="7A203760" w14:textId="751DFB7B" w:rsidR="00F64E9A" w:rsidRPr="0079452F" w:rsidRDefault="00F64E9A" w:rsidP="00596C32">
            <w:pPr>
              <w:ind w:firstLineChars="100" w:firstLine="200"/>
              <w:rPr>
                <w:sz w:val="20"/>
                <w:szCs w:val="20"/>
              </w:rPr>
            </w:pPr>
          </w:p>
        </w:tc>
        <w:tc>
          <w:tcPr>
            <w:tcW w:w="9214" w:type="dxa"/>
          </w:tcPr>
          <w:p w14:paraId="2F0DAA51" w14:textId="0D82D2E4" w:rsidR="00562C50" w:rsidRPr="0079452F" w:rsidRDefault="00562C50" w:rsidP="00562C50">
            <w:pPr>
              <w:ind w:firstLineChars="100" w:firstLine="200"/>
              <w:rPr>
                <w:sz w:val="20"/>
                <w:szCs w:val="20"/>
              </w:rPr>
            </w:pPr>
            <w:r w:rsidRPr="0079452F">
              <w:rPr>
                <w:sz w:val="20"/>
                <w:szCs w:val="20"/>
              </w:rPr>
              <w:t>ランドカジノの収益</w:t>
            </w:r>
            <w:r w:rsidRPr="0079452F">
              <w:rPr>
                <w:rFonts w:hint="eastAsia"/>
                <w:sz w:val="20"/>
                <w:szCs w:val="20"/>
              </w:rPr>
              <w:t>は新</w:t>
            </w:r>
            <w:r w:rsidRPr="0079452F">
              <w:rPr>
                <w:sz w:val="20"/>
                <w:szCs w:val="20"/>
              </w:rPr>
              <w:t>型コロナウイルス感染症の影響を受け、一時的には減少し</w:t>
            </w:r>
            <w:r w:rsidRPr="0079452F">
              <w:rPr>
                <w:rFonts w:hint="eastAsia"/>
                <w:sz w:val="20"/>
                <w:szCs w:val="20"/>
              </w:rPr>
              <w:t>まし</w:t>
            </w:r>
            <w:r w:rsidRPr="0079452F">
              <w:rPr>
                <w:sz w:val="20"/>
                <w:szCs w:val="20"/>
              </w:rPr>
              <w:t>たが、感染症が一定収束して以降、ラスベガス</w:t>
            </w:r>
            <w:r w:rsidRPr="0079452F">
              <w:rPr>
                <w:rFonts w:hint="eastAsia"/>
                <w:sz w:val="20"/>
                <w:szCs w:val="20"/>
              </w:rPr>
              <w:t>や</w:t>
            </w:r>
            <w:r w:rsidRPr="0079452F">
              <w:rPr>
                <w:sz w:val="20"/>
                <w:szCs w:val="20"/>
              </w:rPr>
              <w:t>シンガポールではコロナ以前を上回るほど回復している状況</w:t>
            </w:r>
            <w:r w:rsidRPr="0079452F">
              <w:rPr>
                <w:rFonts w:hint="eastAsia"/>
                <w:sz w:val="20"/>
                <w:szCs w:val="20"/>
              </w:rPr>
              <w:t>です</w:t>
            </w:r>
            <w:r w:rsidRPr="0079452F">
              <w:rPr>
                <w:sz w:val="20"/>
                <w:szCs w:val="20"/>
              </w:rPr>
              <w:t>。</w:t>
            </w:r>
          </w:p>
          <w:p w14:paraId="3A4BA1AB" w14:textId="5A54415B" w:rsidR="00562C50" w:rsidRPr="0079452F" w:rsidRDefault="00562C50" w:rsidP="00562C50">
            <w:pPr>
              <w:ind w:firstLineChars="100" w:firstLine="200"/>
              <w:rPr>
                <w:sz w:val="20"/>
                <w:szCs w:val="20"/>
              </w:rPr>
            </w:pPr>
            <w:r w:rsidRPr="0079452F">
              <w:rPr>
                <w:rFonts w:hint="eastAsia"/>
                <w:sz w:val="20"/>
                <w:szCs w:val="20"/>
              </w:rPr>
              <w:t>来訪者数や売上等については、ＩＲ事業者において、人口統計や訪日外客統計等の統計情報、既存のＩＲ施設や近畿圏及び日本国内にある集客施設等の実績・知見等を踏まえて来訪者数を推計されており、また、それらの来場者数を踏まえて売上等が見込まれているものです。</w:t>
            </w:r>
          </w:p>
          <w:p w14:paraId="40F9511D" w14:textId="49F7143E" w:rsidR="003E0AED" w:rsidRPr="00D24697" w:rsidRDefault="00562C50" w:rsidP="00D24697">
            <w:pPr>
              <w:ind w:firstLineChars="100" w:firstLine="200"/>
              <w:rPr>
                <w:sz w:val="20"/>
                <w:szCs w:val="20"/>
              </w:rPr>
            </w:pPr>
            <w:r w:rsidRPr="0079452F">
              <w:rPr>
                <w:sz w:val="20"/>
                <w:szCs w:val="20"/>
              </w:rPr>
              <w:t>ＩＲは、府・市で資金を投じて設置、運営するものではなく、民設民営事業として、ＭＧＭ・オリックスの中核企業２社に加えて、大阪・関西を中心とした企業22社が自らの出資や金融機関からの借入れにより資金調達を行い、リスクを負って１兆円を超える投資を行うものであり、事業計画の立案にあたっても、慎重に検討・精査されているものと</w:t>
            </w:r>
            <w:r w:rsidRPr="0079452F">
              <w:rPr>
                <w:rFonts w:hint="eastAsia"/>
                <w:sz w:val="20"/>
                <w:szCs w:val="20"/>
              </w:rPr>
              <w:t>考えています。</w:t>
            </w:r>
          </w:p>
        </w:tc>
      </w:tr>
      <w:tr w:rsidR="0034417C" w14:paraId="2D550BE9" w14:textId="77777777" w:rsidTr="0034417C">
        <w:trPr>
          <w:trHeight w:val="359"/>
        </w:trPr>
        <w:tc>
          <w:tcPr>
            <w:tcW w:w="704" w:type="dxa"/>
          </w:tcPr>
          <w:p w14:paraId="27EBD2FD" w14:textId="7B2DE3F9" w:rsidR="0034417C" w:rsidRDefault="00220B05" w:rsidP="000411BF">
            <w:pPr>
              <w:jc w:val="center"/>
              <w:rPr>
                <w:sz w:val="20"/>
                <w:szCs w:val="20"/>
              </w:rPr>
            </w:pPr>
            <w:r>
              <w:rPr>
                <w:rFonts w:hint="eastAsia"/>
                <w:sz w:val="20"/>
                <w:szCs w:val="20"/>
              </w:rPr>
              <w:t>1</w:t>
            </w:r>
            <w:r w:rsidR="00162646">
              <w:rPr>
                <w:sz w:val="20"/>
                <w:szCs w:val="20"/>
              </w:rPr>
              <w:t>1</w:t>
            </w:r>
          </w:p>
        </w:tc>
        <w:tc>
          <w:tcPr>
            <w:tcW w:w="5528" w:type="dxa"/>
          </w:tcPr>
          <w:p w14:paraId="1D09F433" w14:textId="4B7C42DC" w:rsidR="0034417C" w:rsidRPr="0079452F" w:rsidRDefault="00162646" w:rsidP="003B0DCE">
            <w:pPr>
              <w:ind w:firstLineChars="100" w:firstLine="200"/>
              <w:rPr>
                <w:sz w:val="20"/>
                <w:szCs w:val="20"/>
              </w:rPr>
            </w:pPr>
            <w:r w:rsidRPr="0079452F">
              <w:rPr>
                <w:rFonts w:hint="eastAsia"/>
                <w:sz w:val="20"/>
                <w:szCs w:val="20"/>
              </w:rPr>
              <w:t>太陽光発電事業は、止めたのか？</w:t>
            </w:r>
            <w:r w:rsidRPr="0079452F">
              <w:rPr>
                <w:sz w:val="20"/>
                <w:szCs w:val="20"/>
              </w:rPr>
              <w:t>SDGsの観点から大事。</w:t>
            </w:r>
          </w:p>
        </w:tc>
        <w:tc>
          <w:tcPr>
            <w:tcW w:w="9214" w:type="dxa"/>
          </w:tcPr>
          <w:p w14:paraId="49C194C6" w14:textId="6E8A30CE" w:rsidR="00C84649" w:rsidRPr="00C84649" w:rsidRDefault="00C84649" w:rsidP="00A75F63">
            <w:pPr>
              <w:ind w:firstLineChars="100" w:firstLine="200"/>
              <w:rPr>
                <w:sz w:val="20"/>
                <w:szCs w:val="20"/>
              </w:rPr>
            </w:pPr>
            <w:r w:rsidRPr="00393317">
              <w:rPr>
                <w:rFonts w:hint="eastAsia"/>
                <w:sz w:val="20"/>
                <w:szCs w:val="20"/>
              </w:rPr>
              <w:t>附帯事業としてＩＲ区域外で予定していました、ＩＲ区域内に電力供給を行う太陽光発電事業については取り止め、区域内における太陽光発電や省エネ対策等の取組により、おおむね同等以上の環境負荷低減（ＣＯ２排出量削減）を図ることとしています。</w:t>
            </w:r>
          </w:p>
          <w:p w14:paraId="21EA1C86" w14:textId="316D3123" w:rsidR="00C84649" w:rsidRPr="0079452F" w:rsidRDefault="00C84649" w:rsidP="00C84649">
            <w:pPr>
              <w:ind w:firstLineChars="100" w:firstLine="200"/>
              <w:rPr>
                <w:sz w:val="20"/>
                <w:szCs w:val="20"/>
              </w:rPr>
            </w:pPr>
            <w:r w:rsidRPr="00C84649">
              <w:rPr>
                <w:rFonts w:hint="eastAsia"/>
                <w:sz w:val="20"/>
                <w:szCs w:val="20"/>
              </w:rPr>
              <w:t>また、大阪ＩＲでは、上記取組のほか、効率的なエネルギー運用や雨水の再利用・節水型器具の採用等など、日々の運営で消費するエネルギー・水・燃料の消費の継続的な低減に取り組むことにより、</w:t>
            </w:r>
            <w:r w:rsidRPr="00C84649">
              <w:rPr>
                <w:sz w:val="20"/>
                <w:szCs w:val="20"/>
              </w:rPr>
              <w:t>SDGsの達成に貢献するサステナブルなＩＲをめざすこととしています。</w:t>
            </w:r>
          </w:p>
        </w:tc>
      </w:tr>
      <w:tr w:rsidR="0034417C" w14:paraId="1D6AB96D" w14:textId="77777777" w:rsidTr="00713A2E">
        <w:trPr>
          <w:trHeight w:val="2202"/>
        </w:trPr>
        <w:tc>
          <w:tcPr>
            <w:tcW w:w="704" w:type="dxa"/>
          </w:tcPr>
          <w:p w14:paraId="4857F8BE" w14:textId="67E2FC0A" w:rsidR="0034417C" w:rsidRDefault="0034417C" w:rsidP="000411BF">
            <w:pPr>
              <w:jc w:val="center"/>
              <w:rPr>
                <w:sz w:val="20"/>
                <w:szCs w:val="20"/>
              </w:rPr>
            </w:pPr>
            <w:r>
              <w:rPr>
                <w:rFonts w:hint="eastAsia"/>
                <w:sz w:val="20"/>
                <w:szCs w:val="20"/>
              </w:rPr>
              <w:lastRenderedPageBreak/>
              <w:t>1</w:t>
            </w:r>
            <w:r w:rsidR="00162646">
              <w:rPr>
                <w:sz w:val="20"/>
                <w:szCs w:val="20"/>
              </w:rPr>
              <w:t>2</w:t>
            </w:r>
          </w:p>
        </w:tc>
        <w:tc>
          <w:tcPr>
            <w:tcW w:w="5528" w:type="dxa"/>
          </w:tcPr>
          <w:p w14:paraId="71EE78A6" w14:textId="75089CF8" w:rsidR="0034417C" w:rsidRPr="0079452F" w:rsidRDefault="00162646" w:rsidP="003B0DCE">
            <w:pPr>
              <w:ind w:firstLineChars="100" w:firstLine="200"/>
              <w:rPr>
                <w:sz w:val="20"/>
                <w:szCs w:val="20"/>
              </w:rPr>
            </w:pPr>
            <w:r w:rsidRPr="0079452F">
              <w:rPr>
                <w:rFonts w:hint="eastAsia"/>
                <w:sz w:val="20"/>
                <w:szCs w:val="20"/>
              </w:rPr>
              <w:t>「ＩＲ税制」をわかりやすく説明して</w:t>
            </w:r>
          </w:p>
        </w:tc>
        <w:tc>
          <w:tcPr>
            <w:tcW w:w="9214" w:type="dxa"/>
          </w:tcPr>
          <w:p w14:paraId="1E71E883" w14:textId="77777777" w:rsidR="000D063E" w:rsidRPr="0079452F" w:rsidRDefault="000D063E" w:rsidP="000D063E">
            <w:pPr>
              <w:ind w:firstLineChars="100" w:firstLine="200"/>
              <w:rPr>
                <w:sz w:val="20"/>
                <w:szCs w:val="20"/>
              </w:rPr>
            </w:pPr>
            <w:r w:rsidRPr="0079452F">
              <w:rPr>
                <w:rFonts w:hint="eastAsia"/>
                <w:sz w:val="20"/>
                <w:szCs w:val="20"/>
              </w:rPr>
              <w:t>「ＩＲ税制」については、ＩＲ事業の国際競争力を確保する観点等から、令和</w:t>
            </w:r>
            <w:r w:rsidRPr="0079452F">
              <w:rPr>
                <w:sz w:val="20"/>
                <w:szCs w:val="20"/>
              </w:rPr>
              <w:t>3年度税制改正大綱にて所得税等について方向性が示され、その後法制化が行われています。</w:t>
            </w:r>
          </w:p>
          <w:p w14:paraId="12F1AEAD" w14:textId="1A32375D" w:rsidR="000D063E" w:rsidRPr="0079452F" w:rsidRDefault="000D063E" w:rsidP="000D063E">
            <w:pPr>
              <w:ind w:firstLineChars="100" w:firstLine="200"/>
              <w:rPr>
                <w:sz w:val="20"/>
                <w:szCs w:val="20"/>
              </w:rPr>
            </w:pPr>
            <w:r w:rsidRPr="0079452F">
              <w:rPr>
                <w:rFonts w:hint="eastAsia"/>
                <w:sz w:val="20"/>
                <w:szCs w:val="20"/>
              </w:rPr>
              <w:t>例えば、非居住者のカジノ所得については、非課税とさ</w:t>
            </w:r>
            <w:r w:rsidRPr="0079452F">
              <w:rPr>
                <w:rFonts w:asciiTheme="minorEastAsia" w:hAnsiTheme="minorEastAsia" w:hint="eastAsia"/>
                <w:sz w:val="20"/>
                <w:szCs w:val="20"/>
              </w:rPr>
              <w:t>れ、居住者のカジノ所得については、国内の公営ギャンブルと同様、課税されることになっています。</w:t>
            </w:r>
          </w:p>
          <w:p w14:paraId="7EE899F3" w14:textId="7CED40EC" w:rsidR="0034417C" w:rsidRPr="0079452F" w:rsidRDefault="000D063E" w:rsidP="000D063E">
            <w:pPr>
              <w:ind w:firstLineChars="100" w:firstLine="200"/>
              <w:rPr>
                <w:sz w:val="20"/>
                <w:szCs w:val="20"/>
              </w:rPr>
            </w:pPr>
            <w:r w:rsidRPr="0079452F">
              <w:rPr>
                <w:rFonts w:hint="eastAsia"/>
                <w:sz w:val="20"/>
                <w:szCs w:val="20"/>
              </w:rPr>
              <w:t>＜参考＞令和３年度税制改正大綱（※</w:t>
            </w:r>
            <w:r w:rsidRPr="0079452F">
              <w:rPr>
                <w:sz w:val="20"/>
                <w:szCs w:val="20"/>
              </w:rPr>
              <w:t>21・22ページにＩＲ税制の記載あり）</w:t>
            </w:r>
          </w:p>
          <w:p w14:paraId="64975A29" w14:textId="2E2CE095" w:rsidR="003E0AED" w:rsidRPr="0079452F" w:rsidRDefault="00562C68" w:rsidP="00301B90">
            <w:pPr>
              <w:ind w:firstLineChars="100" w:firstLine="210"/>
              <w:rPr>
                <w:sz w:val="20"/>
                <w:szCs w:val="20"/>
              </w:rPr>
            </w:pPr>
            <w:hyperlink r:id="rId8" w:history="1">
              <w:r w:rsidR="000D063E" w:rsidRPr="0079452F">
                <w:rPr>
                  <w:rStyle w:val="a4"/>
                  <w:color w:val="auto"/>
                  <w:sz w:val="20"/>
                  <w:szCs w:val="20"/>
                </w:rPr>
                <w:t>https://storage2.jimin.jp/pdf/news/policy/200955_1.pdf</w:t>
              </w:r>
            </w:hyperlink>
          </w:p>
        </w:tc>
      </w:tr>
      <w:tr w:rsidR="00233711" w14:paraId="7B18E945" w14:textId="77777777" w:rsidTr="0034417C">
        <w:trPr>
          <w:trHeight w:val="359"/>
        </w:trPr>
        <w:tc>
          <w:tcPr>
            <w:tcW w:w="704" w:type="dxa"/>
          </w:tcPr>
          <w:p w14:paraId="757F2FCA" w14:textId="4AD63766" w:rsidR="00233711" w:rsidRDefault="00233711" w:rsidP="000411BF">
            <w:pPr>
              <w:jc w:val="center"/>
              <w:rPr>
                <w:sz w:val="20"/>
                <w:szCs w:val="20"/>
              </w:rPr>
            </w:pPr>
            <w:r>
              <w:rPr>
                <w:rFonts w:hint="eastAsia"/>
                <w:sz w:val="20"/>
                <w:szCs w:val="20"/>
              </w:rPr>
              <w:t>1</w:t>
            </w:r>
            <w:r>
              <w:rPr>
                <w:sz w:val="20"/>
                <w:szCs w:val="20"/>
              </w:rPr>
              <w:t>3</w:t>
            </w:r>
          </w:p>
        </w:tc>
        <w:tc>
          <w:tcPr>
            <w:tcW w:w="5528" w:type="dxa"/>
          </w:tcPr>
          <w:p w14:paraId="2B594D90" w14:textId="5758AD70" w:rsidR="00233711" w:rsidRPr="0079452F" w:rsidRDefault="00233711" w:rsidP="003B0DCE">
            <w:pPr>
              <w:ind w:firstLineChars="100" w:firstLine="200"/>
              <w:rPr>
                <w:sz w:val="20"/>
                <w:szCs w:val="20"/>
              </w:rPr>
            </w:pPr>
            <w:r w:rsidRPr="0079452F">
              <w:rPr>
                <w:rFonts w:hint="eastAsia"/>
                <w:sz w:val="20"/>
                <w:szCs w:val="20"/>
              </w:rPr>
              <w:t>カジノで地域活性化するなど、本当に大阪府市民が望んでいるでしょうか？</w:t>
            </w:r>
          </w:p>
        </w:tc>
        <w:tc>
          <w:tcPr>
            <w:tcW w:w="9214" w:type="dxa"/>
          </w:tcPr>
          <w:p w14:paraId="45528A8C" w14:textId="36119584" w:rsidR="003861FA" w:rsidRPr="00393317" w:rsidRDefault="003861FA" w:rsidP="003861FA">
            <w:pPr>
              <w:ind w:firstLineChars="100" w:firstLine="200"/>
              <w:rPr>
                <w:sz w:val="20"/>
                <w:szCs w:val="20"/>
              </w:rPr>
            </w:pPr>
            <w:r w:rsidRPr="00393317">
              <w:rPr>
                <w:rFonts w:hint="eastAsia"/>
                <w:sz w:val="20"/>
                <w:szCs w:val="20"/>
              </w:rPr>
              <w:t>大阪・夢洲でのＩＲ立地は、世界中から新たに人、モノ、投資を呼び込むものであり、持続的な民間投資による経済波及効果や雇用創出効果に加え、幅広い産業分野の活性化など、大阪の経済成長に大きく貢献するものです。</w:t>
            </w:r>
          </w:p>
          <w:p w14:paraId="394FBFC7" w14:textId="17E100C7" w:rsidR="003861FA" w:rsidRPr="00393317" w:rsidRDefault="003861FA" w:rsidP="003861FA">
            <w:pPr>
              <w:ind w:firstLineChars="100" w:firstLine="200"/>
              <w:rPr>
                <w:sz w:val="20"/>
                <w:szCs w:val="20"/>
              </w:rPr>
            </w:pPr>
            <w:r w:rsidRPr="00393317">
              <w:rPr>
                <w:rFonts w:hint="eastAsia"/>
                <w:sz w:val="20"/>
                <w:szCs w:val="20"/>
              </w:rPr>
              <w:t>さらに、納付金等の収入を、ギャンブル等依存症対策の充実などの懸念事項対策をはじめ、子育てや教育、福祉、観光振興、地域経済振興など、住民福祉の増進や大阪の成長に向けて広く活用することにより、府民・市民の暮らしの充実やさらなる都市魅力と国際競争力の向上を図っていきたいと考えています。</w:t>
            </w:r>
          </w:p>
          <w:p w14:paraId="1C015B51" w14:textId="602EBCB0" w:rsidR="00E915AA" w:rsidRPr="00D24697" w:rsidRDefault="008572B9" w:rsidP="00D24697">
            <w:pPr>
              <w:ind w:firstLineChars="100" w:firstLine="200"/>
              <w:rPr>
                <w:sz w:val="20"/>
                <w:szCs w:val="20"/>
                <w:shd w:val="pct15" w:color="auto" w:fill="FFFFFF"/>
              </w:rPr>
            </w:pPr>
            <w:r w:rsidRPr="00393317">
              <w:rPr>
                <w:rFonts w:hint="eastAsia"/>
                <w:sz w:val="20"/>
                <w:szCs w:val="20"/>
              </w:rPr>
              <w:t>なお、区域整備計画については、大阪府・市の両議会で議決され、令和５年４月に国から認定を受け</w:t>
            </w:r>
            <w:r w:rsidR="00A80A4A" w:rsidRPr="00393317">
              <w:rPr>
                <w:rFonts w:hint="eastAsia"/>
                <w:sz w:val="20"/>
                <w:szCs w:val="20"/>
              </w:rPr>
              <w:t>て</w:t>
            </w:r>
            <w:r w:rsidR="00BE379D">
              <w:rPr>
                <w:rFonts w:hint="eastAsia"/>
                <w:sz w:val="20"/>
                <w:szCs w:val="20"/>
              </w:rPr>
              <w:t>い</w:t>
            </w:r>
            <w:r w:rsidR="00A80A4A" w:rsidRPr="00393317">
              <w:rPr>
                <w:rFonts w:hint="eastAsia"/>
                <w:sz w:val="20"/>
                <w:szCs w:val="20"/>
              </w:rPr>
              <w:t>ます</w:t>
            </w:r>
            <w:r w:rsidRPr="00393317">
              <w:rPr>
                <w:sz w:val="20"/>
                <w:szCs w:val="20"/>
              </w:rPr>
              <w:t>。</w:t>
            </w:r>
          </w:p>
        </w:tc>
      </w:tr>
      <w:tr w:rsidR="00747CA1" w14:paraId="7B64B8BA" w14:textId="77777777" w:rsidTr="0079452F">
        <w:trPr>
          <w:trHeight w:val="359"/>
        </w:trPr>
        <w:tc>
          <w:tcPr>
            <w:tcW w:w="704" w:type="dxa"/>
          </w:tcPr>
          <w:p w14:paraId="3CDF2DFF" w14:textId="02CB04F9" w:rsidR="00747CA1" w:rsidRDefault="00233711" w:rsidP="000411BF">
            <w:pPr>
              <w:jc w:val="center"/>
              <w:rPr>
                <w:sz w:val="20"/>
                <w:szCs w:val="20"/>
              </w:rPr>
            </w:pPr>
            <w:r>
              <w:rPr>
                <w:sz w:val="20"/>
                <w:szCs w:val="20"/>
              </w:rPr>
              <w:t>14</w:t>
            </w:r>
          </w:p>
          <w:p w14:paraId="636BBE92" w14:textId="16E07B19" w:rsidR="00747CA1" w:rsidRDefault="00747CA1" w:rsidP="000411BF">
            <w:pPr>
              <w:jc w:val="center"/>
              <w:rPr>
                <w:sz w:val="20"/>
                <w:szCs w:val="20"/>
              </w:rPr>
            </w:pPr>
          </w:p>
        </w:tc>
        <w:tc>
          <w:tcPr>
            <w:tcW w:w="5528" w:type="dxa"/>
            <w:shd w:val="clear" w:color="auto" w:fill="FFFFFF" w:themeFill="background1"/>
          </w:tcPr>
          <w:p w14:paraId="377AD290" w14:textId="4EC563E8" w:rsidR="00747CA1" w:rsidRPr="0079452F" w:rsidRDefault="00162646" w:rsidP="003B0DCE">
            <w:pPr>
              <w:ind w:firstLineChars="100" w:firstLine="200"/>
              <w:rPr>
                <w:sz w:val="20"/>
                <w:szCs w:val="20"/>
                <w:highlight w:val="yellow"/>
              </w:rPr>
            </w:pPr>
            <w:r w:rsidRPr="0079452F">
              <w:rPr>
                <w:rFonts w:hint="eastAsia"/>
                <w:sz w:val="20"/>
                <w:szCs w:val="20"/>
              </w:rPr>
              <w:t>ギャンブル依存症は医療で治せるのか？確立された治療法あるのか？</w:t>
            </w:r>
          </w:p>
        </w:tc>
        <w:tc>
          <w:tcPr>
            <w:tcW w:w="9214" w:type="dxa"/>
            <w:shd w:val="clear" w:color="auto" w:fill="FFFFFF" w:themeFill="background1"/>
          </w:tcPr>
          <w:p w14:paraId="7DECAAE3" w14:textId="48C2D1F9" w:rsidR="00F94A0D" w:rsidRPr="00D24697" w:rsidRDefault="00F67919" w:rsidP="00D24697">
            <w:pPr>
              <w:ind w:firstLineChars="100" w:firstLine="200"/>
              <w:rPr>
                <w:sz w:val="20"/>
                <w:szCs w:val="20"/>
                <w:shd w:val="pct15" w:color="auto" w:fill="FFFFFF"/>
              </w:rPr>
            </w:pPr>
            <w:r w:rsidRPr="00393317">
              <w:rPr>
                <w:rFonts w:hint="eastAsia"/>
                <w:sz w:val="20"/>
                <w:szCs w:val="20"/>
              </w:rPr>
              <w:t>ギャンブル等依存症とは、ギャンブル等にのめり</w:t>
            </w:r>
            <w:r w:rsidR="00562C68">
              <w:rPr>
                <w:rFonts w:hint="eastAsia"/>
                <w:sz w:val="20"/>
                <w:szCs w:val="20"/>
              </w:rPr>
              <w:t>込む</w:t>
            </w:r>
            <w:r w:rsidRPr="00393317">
              <w:rPr>
                <w:rFonts w:hint="eastAsia"/>
                <w:sz w:val="20"/>
                <w:szCs w:val="20"/>
              </w:rPr>
              <w:t>ことにより、日常生活や社会生活に支障が生じている状態のことです。「本人の意志」や「性格」は関係なく、誰でも依存症になる可能性があります。ギャンブル等依存症は、回復が十分可能です。</w:t>
            </w:r>
          </w:p>
        </w:tc>
      </w:tr>
      <w:tr w:rsidR="0034417C" w14:paraId="3FDCEB1F" w14:textId="77777777" w:rsidTr="0079452F">
        <w:trPr>
          <w:trHeight w:val="359"/>
        </w:trPr>
        <w:tc>
          <w:tcPr>
            <w:tcW w:w="704" w:type="dxa"/>
          </w:tcPr>
          <w:p w14:paraId="7ECA626B" w14:textId="77B202CC" w:rsidR="0034417C" w:rsidRDefault="00233711" w:rsidP="000411BF">
            <w:pPr>
              <w:jc w:val="center"/>
              <w:rPr>
                <w:sz w:val="20"/>
                <w:szCs w:val="20"/>
              </w:rPr>
            </w:pPr>
            <w:r>
              <w:rPr>
                <w:sz w:val="20"/>
                <w:szCs w:val="20"/>
              </w:rPr>
              <w:t>15</w:t>
            </w:r>
          </w:p>
        </w:tc>
        <w:tc>
          <w:tcPr>
            <w:tcW w:w="5528" w:type="dxa"/>
            <w:shd w:val="clear" w:color="auto" w:fill="FFFFFF" w:themeFill="background1"/>
          </w:tcPr>
          <w:p w14:paraId="352E8C25" w14:textId="592CBFCD" w:rsidR="0034417C" w:rsidRPr="0079452F" w:rsidRDefault="00162646" w:rsidP="00162646">
            <w:pPr>
              <w:rPr>
                <w:sz w:val="20"/>
                <w:szCs w:val="20"/>
              </w:rPr>
            </w:pPr>
            <w:r w:rsidRPr="0079452F">
              <w:rPr>
                <w:rFonts w:hint="eastAsia"/>
                <w:sz w:val="20"/>
                <w:szCs w:val="20"/>
              </w:rPr>
              <w:t xml:space="preserve">　賃料の裁判で敗けたらどうするの？</w:t>
            </w:r>
          </w:p>
        </w:tc>
        <w:tc>
          <w:tcPr>
            <w:tcW w:w="9214" w:type="dxa"/>
            <w:shd w:val="clear" w:color="auto" w:fill="FFFFFF" w:themeFill="background1"/>
          </w:tcPr>
          <w:p w14:paraId="769C8A88" w14:textId="77777777" w:rsidR="008C0184" w:rsidRPr="0079452F" w:rsidRDefault="008C0184" w:rsidP="008C0184">
            <w:pPr>
              <w:ind w:firstLineChars="100" w:firstLine="200"/>
              <w:rPr>
                <w:sz w:val="20"/>
                <w:szCs w:val="20"/>
              </w:rPr>
            </w:pPr>
            <w:r w:rsidRPr="0079452F">
              <w:rPr>
                <w:rFonts w:hint="eastAsia"/>
                <w:sz w:val="20"/>
                <w:szCs w:val="20"/>
              </w:rPr>
              <w:t>ＩＲ用地の賃料については、土地を所管する大阪港湾局が複数の不動産鑑定業者に鑑定の依頼を行い、それぞれの鑑定業者が責任をもって適正に鑑定したものです。</w:t>
            </w:r>
          </w:p>
          <w:p w14:paraId="6E7B7F1C" w14:textId="2DCBFB4F" w:rsidR="008C0184" w:rsidRPr="0079452F" w:rsidRDefault="008C0184" w:rsidP="008C0184">
            <w:pPr>
              <w:ind w:firstLineChars="100" w:firstLine="200"/>
              <w:rPr>
                <w:sz w:val="20"/>
                <w:szCs w:val="20"/>
              </w:rPr>
            </w:pPr>
            <w:r w:rsidRPr="0079452F">
              <w:rPr>
                <w:rFonts w:hint="eastAsia"/>
                <w:sz w:val="20"/>
                <w:szCs w:val="20"/>
              </w:rPr>
              <w:t>また、その賃料については、不動産鑑定士、弁護士、会計士など第三者の専門家の委員で構成される不動産評価審議会の審議を経て妥当と判断され、戦略会議において、ＩＲ</w:t>
            </w:r>
            <w:r w:rsidRPr="0079452F">
              <w:rPr>
                <w:sz w:val="20"/>
                <w:szCs w:val="20"/>
              </w:rPr>
              <w:t>事業者の提案募集の条件として決定された</w:t>
            </w:r>
            <w:r w:rsidRPr="0079452F">
              <w:rPr>
                <w:rFonts w:hint="eastAsia"/>
                <w:sz w:val="20"/>
                <w:szCs w:val="20"/>
              </w:rPr>
              <w:t>ものです。</w:t>
            </w:r>
          </w:p>
          <w:p w14:paraId="55C34939" w14:textId="0690E325" w:rsidR="00DF2341" w:rsidRPr="008D34F0" w:rsidRDefault="008C0184" w:rsidP="008C0184">
            <w:pPr>
              <w:ind w:firstLineChars="100" w:firstLine="200"/>
              <w:rPr>
                <w:sz w:val="20"/>
                <w:szCs w:val="20"/>
              </w:rPr>
            </w:pPr>
            <w:r w:rsidRPr="008D34F0">
              <w:rPr>
                <w:rFonts w:hint="eastAsia"/>
                <w:sz w:val="20"/>
                <w:szCs w:val="20"/>
              </w:rPr>
              <w:t>ＩＲ用地の賃料に関する住民訴訟については、現在係属中であり、本市として</w:t>
            </w:r>
            <w:r w:rsidR="008D34F0" w:rsidRPr="00393317">
              <w:rPr>
                <w:rFonts w:hint="eastAsia"/>
                <w:sz w:val="20"/>
                <w:szCs w:val="20"/>
              </w:rPr>
              <w:t>賃料が適正である旨等の</w:t>
            </w:r>
            <w:r w:rsidRPr="008D34F0">
              <w:rPr>
                <w:rFonts w:hint="eastAsia"/>
                <w:sz w:val="20"/>
                <w:szCs w:val="20"/>
              </w:rPr>
              <w:t>主張を行っているところです。</w:t>
            </w:r>
          </w:p>
        </w:tc>
      </w:tr>
      <w:tr w:rsidR="0034417C" w14:paraId="58958AAC" w14:textId="77777777" w:rsidTr="00713A2E">
        <w:trPr>
          <w:trHeight w:val="1210"/>
        </w:trPr>
        <w:tc>
          <w:tcPr>
            <w:tcW w:w="704" w:type="dxa"/>
          </w:tcPr>
          <w:p w14:paraId="0A239DC0" w14:textId="55CAEB53" w:rsidR="0034417C" w:rsidRDefault="00233711" w:rsidP="000411BF">
            <w:pPr>
              <w:jc w:val="center"/>
              <w:rPr>
                <w:sz w:val="20"/>
                <w:szCs w:val="20"/>
              </w:rPr>
            </w:pPr>
            <w:r>
              <w:rPr>
                <w:sz w:val="20"/>
                <w:szCs w:val="20"/>
              </w:rPr>
              <w:lastRenderedPageBreak/>
              <w:t>16</w:t>
            </w:r>
          </w:p>
        </w:tc>
        <w:tc>
          <w:tcPr>
            <w:tcW w:w="5528" w:type="dxa"/>
            <w:shd w:val="clear" w:color="auto" w:fill="FFFFFF" w:themeFill="background1"/>
          </w:tcPr>
          <w:p w14:paraId="136775B7" w14:textId="07D7E369" w:rsidR="00AA2514" w:rsidRPr="0079452F" w:rsidRDefault="00162646" w:rsidP="00663D24">
            <w:pPr>
              <w:ind w:firstLineChars="100" w:firstLine="200"/>
              <w:rPr>
                <w:sz w:val="20"/>
                <w:szCs w:val="20"/>
              </w:rPr>
            </w:pPr>
            <w:r w:rsidRPr="0079452F">
              <w:rPr>
                <w:rFonts w:hint="eastAsia"/>
                <w:sz w:val="20"/>
                <w:szCs w:val="20"/>
              </w:rPr>
              <w:t>カジノ依存症対策に関しては、全て「万全を期す」につき、万全を期したら何でも解決できますか？</w:t>
            </w:r>
          </w:p>
        </w:tc>
        <w:tc>
          <w:tcPr>
            <w:tcW w:w="9214" w:type="dxa"/>
            <w:shd w:val="clear" w:color="auto" w:fill="FFFFFF" w:themeFill="background1"/>
          </w:tcPr>
          <w:p w14:paraId="031BB258" w14:textId="7D19ACC9" w:rsidR="0034417C" w:rsidRPr="0079452F" w:rsidRDefault="00D17D96" w:rsidP="00C45DDF">
            <w:pPr>
              <w:ind w:firstLineChars="100" w:firstLine="200"/>
              <w:rPr>
                <w:sz w:val="20"/>
                <w:szCs w:val="20"/>
              </w:rPr>
            </w:pPr>
            <w:r w:rsidRPr="0079452F">
              <w:rPr>
                <w:rFonts w:hint="eastAsia"/>
                <w:sz w:val="20"/>
                <w:szCs w:val="20"/>
              </w:rPr>
              <w:t>ギャンブル等依存症に関しては、カジノがない現在においても喫緊に取り組むべき重要な課題</w:t>
            </w:r>
            <w:r w:rsidRPr="008D34F0">
              <w:rPr>
                <w:rFonts w:hint="eastAsia"/>
                <w:sz w:val="20"/>
                <w:szCs w:val="20"/>
              </w:rPr>
              <w:t>であることから、ＩＲ誘致を契機に、既存のギャンブル等を含め依存症問題に正面から取り組み万全を尽くす必要があると認識して</w:t>
            </w:r>
            <w:r w:rsidR="00BE379D">
              <w:rPr>
                <w:rFonts w:hint="eastAsia"/>
                <w:sz w:val="20"/>
                <w:szCs w:val="20"/>
              </w:rPr>
              <w:t>い</w:t>
            </w:r>
            <w:r w:rsidRPr="008D34F0">
              <w:rPr>
                <w:rFonts w:hint="eastAsia"/>
                <w:sz w:val="20"/>
                <w:szCs w:val="20"/>
              </w:rPr>
              <w:t>ます。</w:t>
            </w:r>
          </w:p>
        </w:tc>
      </w:tr>
      <w:tr w:rsidR="00162646" w14:paraId="202CC4EC" w14:textId="77777777" w:rsidTr="0079452F">
        <w:trPr>
          <w:trHeight w:val="359"/>
        </w:trPr>
        <w:tc>
          <w:tcPr>
            <w:tcW w:w="704" w:type="dxa"/>
          </w:tcPr>
          <w:p w14:paraId="2D6EB1D0" w14:textId="387C793F" w:rsidR="00162646" w:rsidRDefault="00233711" w:rsidP="000411BF">
            <w:pPr>
              <w:jc w:val="center"/>
              <w:rPr>
                <w:sz w:val="20"/>
                <w:szCs w:val="20"/>
              </w:rPr>
            </w:pPr>
            <w:r>
              <w:rPr>
                <w:sz w:val="20"/>
                <w:szCs w:val="20"/>
              </w:rPr>
              <w:t>17</w:t>
            </w:r>
          </w:p>
          <w:p w14:paraId="535A54EF" w14:textId="0AA83A21" w:rsidR="00162646" w:rsidRDefault="00162646" w:rsidP="00162646">
            <w:pPr>
              <w:rPr>
                <w:sz w:val="20"/>
                <w:szCs w:val="20"/>
              </w:rPr>
            </w:pPr>
          </w:p>
        </w:tc>
        <w:tc>
          <w:tcPr>
            <w:tcW w:w="5528" w:type="dxa"/>
            <w:shd w:val="clear" w:color="auto" w:fill="FFFFFF" w:themeFill="background1"/>
          </w:tcPr>
          <w:p w14:paraId="4B793D59" w14:textId="4D8F9E90" w:rsidR="00162646" w:rsidRPr="0079452F" w:rsidRDefault="00162646" w:rsidP="00663D24">
            <w:pPr>
              <w:ind w:firstLineChars="100" w:firstLine="200"/>
              <w:rPr>
                <w:sz w:val="20"/>
                <w:szCs w:val="20"/>
              </w:rPr>
            </w:pPr>
            <w:r w:rsidRPr="0079452F">
              <w:rPr>
                <w:rFonts w:hint="eastAsia"/>
                <w:sz w:val="20"/>
                <w:szCs w:val="20"/>
              </w:rPr>
              <w:t>ＩＲ入場料の賦課（１回：</w:t>
            </w:r>
            <w:r w:rsidRPr="0079452F">
              <w:rPr>
                <w:sz w:val="20"/>
                <w:szCs w:val="20"/>
              </w:rPr>
              <w:t>6,000円）は、日本人からのみですか？外国人からは、いくらとるのですか？お金のある外国人だけ来てほしいので、外国人から入場料沢山とって下さい。</w:t>
            </w:r>
          </w:p>
        </w:tc>
        <w:tc>
          <w:tcPr>
            <w:tcW w:w="9214" w:type="dxa"/>
            <w:shd w:val="clear" w:color="auto" w:fill="FFFFFF" w:themeFill="background1"/>
          </w:tcPr>
          <w:p w14:paraId="05336816" w14:textId="0A8CABEC" w:rsidR="00773876" w:rsidRPr="0079452F" w:rsidRDefault="00562C50" w:rsidP="00266138">
            <w:pPr>
              <w:ind w:firstLineChars="100" w:firstLine="200"/>
              <w:rPr>
                <w:sz w:val="20"/>
                <w:szCs w:val="20"/>
              </w:rPr>
            </w:pPr>
            <w:r w:rsidRPr="0079452F">
              <w:rPr>
                <w:rFonts w:hint="eastAsia"/>
                <w:sz w:val="20"/>
                <w:szCs w:val="20"/>
              </w:rPr>
              <w:t>入場料については、</w:t>
            </w:r>
            <w:r w:rsidR="00E91CBC" w:rsidRPr="00E91CBC">
              <w:rPr>
                <w:rFonts w:hint="eastAsia"/>
                <w:sz w:val="20"/>
                <w:szCs w:val="20"/>
              </w:rPr>
              <w:t>依存防止</w:t>
            </w:r>
            <w:r w:rsidR="00E91CBC">
              <w:rPr>
                <w:rFonts w:hint="eastAsia"/>
                <w:sz w:val="20"/>
                <w:szCs w:val="20"/>
              </w:rPr>
              <w:t>対策</w:t>
            </w:r>
            <w:r w:rsidR="00E91CBC" w:rsidRPr="00E91CBC">
              <w:rPr>
                <w:rFonts w:hint="eastAsia"/>
                <w:sz w:val="20"/>
                <w:szCs w:val="20"/>
              </w:rPr>
              <w:t>のための国による</w:t>
            </w:r>
            <w:r w:rsidR="00E91CBC">
              <w:rPr>
                <w:rFonts w:hint="eastAsia"/>
                <w:sz w:val="20"/>
                <w:szCs w:val="20"/>
              </w:rPr>
              <w:t>カジノ</w:t>
            </w:r>
            <w:r w:rsidR="00E91CBC" w:rsidRPr="00E91CBC">
              <w:rPr>
                <w:rFonts w:hint="eastAsia"/>
                <w:sz w:val="20"/>
                <w:szCs w:val="20"/>
              </w:rPr>
              <w:t>規制</w:t>
            </w:r>
            <w:r w:rsidR="00E91CBC">
              <w:rPr>
                <w:rFonts w:hint="eastAsia"/>
                <w:sz w:val="20"/>
                <w:szCs w:val="20"/>
              </w:rPr>
              <w:t>として、</w:t>
            </w:r>
            <w:r w:rsidRPr="0079452F">
              <w:rPr>
                <w:rFonts w:hint="eastAsia"/>
                <w:sz w:val="20"/>
                <w:szCs w:val="20"/>
              </w:rPr>
              <w:t>ＩＲ整備法において、日本国内に住居を有しない外国人を除く入場者に対し、賦課することとされており、大阪ＩＲにおいても、この規定に沿って、入場料を賦課するものです。</w:t>
            </w:r>
          </w:p>
        </w:tc>
      </w:tr>
    </w:tbl>
    <w:p w14:paraId="3289DFD6" w14:textId="071A815E" w:rsidR="00961D85" w:rsidRDefault="00961D85"/>
    <w:sectPr w:rsidR="00961D85" w:rsidSect="003E0AED">
      <w:headerReference w:type="default" r:id="rId9"/>
      <w:footerReference w:type="default" r:id="rId10"/>
      <w:pgSz w:w="16838" w:h="11906" w:orient="landscape" w:code="9"/>
      <w:pgMar w:top="720" w:right="720" w:bottom="720" w:left="720"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9BA0" w14:textId="77777777" w:rsidR="000B563A" w:rsidRDefault="000B563A" w:rsidP="00E354EB">
      <w:r>
        <w:separator/>
      </w:r>
    </w:p>
  </w:endnote>
  <w:endnote w:type="continuationSeparator" w:id="0">
    <w:p w14:paraId="0EA8F452" w14:textId="77777777" w:rsidR="000B563A" w:rsidRDefault="000B563A"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72591"/>
      <w:docPartObj>
        <w:docPartGallery w:val="Page Numbers (Bottom of Page)"/>
        <w:docPartUnique/>
      </w:docPartObj>
    </w:sdtPr>
    <w:sdtEndPr/>
    <w:sdtContent>
      <w:p w14:paraId="7019BD86" w14:textId="629F4A40" w:rsidR="008D5C86" w:rsidRDefault="008D5C86">
        <w:pPr>
          <w:pStyle w:val="a7"/>
          <w:jc w:val="center"/>
        </w:pPr>
        <w:r>
          <w:fldChar w:fldCharType="begin"/>
        </w:r>
        <w:r>
          <w:instrText>PAGE   \* MERGEFORMAT</w:instrText>
        </w:r>
        <w:r>
          <w:fldChar w:fldCharType="separate"/>
        </w:r>
        <w:r>
          <w:rPr>
            <w:lang w:val="ja-JP"/>
          </w:rPr>
          <w:t>2</w:t>
        </w:r>
        <w:r>
          <w:fldChar w:fldCharType="end"/>
        </w:r>
      </w:p>
    </w:sdtContent>
  </w:sdt>
  <w:p w14:paraId="063272A5" w14:textId="77777777" w:rsidR="008D5C86" w:rsidRDefault="008D5C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2A2D" w14:textId="77777777" w:rsidR="000B563A" w:rsidRDefault="000B563A" w:rsidP="00E354EB">
      <w:r>
        <w:separator/>
      </w:r>
    </w:p>
  </w:footnote>
  <w:footnote w:type="continuationSeparator" w:id="0">
    <w:p w14:paraId="20649FCA" w14:textId="77777777" w:rsidR="000B563A" w:rsidRDefault="000B563A" w:rsidP="00E3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56AC" w14:textId="666F6A9F" w:rsidR="00286797" w:rsidRPr="00004E5B" w:rsidRDefault="00286797" w:rsidP="00004E5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2E14"/>
    <w:multiLevelType w:val="hybridMultilevel"/>
    <w:tmpl w:val="C85ADD68"/>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4C11E0"/>
    <w:multiLevelType w:val="hybridMultilevel"/>
    <w:tmpl w:val="8A569AD0"/>
    <w:lvl w:ilvl="0" w:tplc="72E4076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EE1BC2"/>
    <w:multiLevelType w:val="hybridMultilevel"/>
    <w:tmpl w:val="29AC0CCE"/>
    <w:lvl w:ilvl="0" w:tplc="A400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46415"/>
    <w:multiLevelType w:val="hybridMultilevel"/>
    <w:tmpl w:val="7DC8CDFC"/>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663704"/>
    <w:multiLevelType w:val="hybridMultilevel"/>
    <w:tmpl w:val="B8F07A60"/>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AD746B"/>
    <w:multiLevelType w:val="hybridMultilevel"/>
    <w:tmpl w:val="F056CA86"/>
    <w:lvl w:ilvl="0" w:tplc="72E4076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3D392D"/>
    <w:multiLevelType w:val="hybridMultilevel"/>
    <w:tmpl w:val="C6E49D9C"/>
    <w:lvl w:ilvl="0" w:tplc="66C4D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A17E3D"/>
    <w:multiLevelType w:val="hybridMultilevel"/>
    <w:tmpl w:val="62722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4E5B"/>
    <w:rsid w:val="00006CF1"/>
    <w:rsid w:val="00010B6A"/>
    <w:rsid w:val="00012D51"/>
    <w:rsid w:val="0002236A"/>
    <w:rsid w:val="000411BF"/>
    <w:rsid w:val="000B563A"/>
    <w:rsid w:val="000D063E"/>
    <w:rsid w:val="000E164E"/>
    <w:rsid w:val="00104B03"/>
    <w:rsid w:val="00106C95"/>
    <w:rsid w:val="001552B1"/>
    <w:rsid w:val="00162646"/>
    <w:rsid w:val="00196DDB"/>
    <w:rsid w:val="001A19C8"/>
    <w:rsid w:val="001C18C0"/>
    <w:rsid w:val="001C77D9"/>
    <w:rsid w:val="001D5D5E"/>
    <w:rsid w:val="00210E71"/>
    <w:rsid w:val="0021127D"/>
    <w:rsid w:val="00216053"/>
    <w:rsid w:val="00216555"/>
    <w:rsid w:val="00220B05"/>
    <w:rsid w:val="0023265F"/>
    <w:rsid w:val="00233711"/>
    <w:rsid w:val="0023461A"/>
    <w:rsid w:val="00240AD7"/>
    <w:rsid w:val="00252372"/>
    <w:rsid w:val="00266138"/>
    <w:rsid w:val="002818A5"/>
    <w:rsid w:val="00286797"/>
    <w:rsid w:val="00291501"/>
    <w:rsid w:val="00296A9C"/>
    <w:rsid w:val="002A455F"/>
    <w:rsid w:val="002C43AA"/>
    <w:rsid w:val="002D5EAD"/>
    <w:rsid w:val="002E79BD"/>
    <w:rsid w:val="002F3631"/>
    <w:rsid w:val="002F5564"/>
    <w:rsid w:val="00301B90"/>
    <w:rsid w:val="0031005A"/>
    <w:rsid w:val="00317ABF"/>
    <w:rsid w:val="00334CE0"/>
    <w:rsid w:val="00337E11"/>
    <w:rsid w:val="0034417C"/>
    <w:rsid w:val="00350135"/>
    <w:rsid w:val="00353BB7"/>
    <w:rsid w:val="0036226B"/>
    <w:rsid w:val="00377E42"/>
    <w:rsid w:val="00385405"/>
    <w:rsid w:val="003855BF"/>
    <w:rsid w:val="003861FA"/>
    <w:rsid w:val="0039105B"/>
    <w:rsid w:val="00391D6F"/>
    <w:rsid w:val="00393317"/>
    <w:rsid w:val="003A4A69"/>
    <w:rsid w:val="003A6765"/>
    <w:rsid w:val="003B0DCE"/>
    <w:rsid w:val="003B3AA9"/>
    <w:rsid w:val="003B7E9B"/>
    <w:rsid w:val="003E0AED"/>
    <w:rsid w:val="003F4189"/>
    <w:rsid w:val="00430544"/>
    <w:rsid w:val="00446382"/>
    <w:rsid w:val="00452F14"/>
    <w:rsid w:val="004646D0"/>
    <w:rsid w:val="0049415E"/>
    <w:rsid w:val="004A78E3"/>
    <w:rsid w:val="004D5D1B"/>
    <w:rsid w:val="00517552"/>
    <w:rsid w:val="005309A4"/>
    <w:rsid w:val="00534316"/>
    <w:rsid w:val="005564BB"/>
    <w:rsid w:val="00562C50"/>
    <w:rsid w:val="00562C68"/>
    <w:rsid w:val="00571604"/>
    <w:rsid w:val="00576B74"/>
    <w:rsid w:val="0059397C"/>
    <w:rsid w:val="00596C32"/>
    <w:rsid w:val="00597074"/>
    <w:rsid w:val="005C22B8"/>
    <w:rsid w:val="005C24BC"/>
    <w:rsid w:val="005E288B"/>
    <w:rsid w:val="00614D42"/>
    <w:rsid w:val="00625C1B"/>
    <w:rsid w:val="006432DC"/>
    <w:rsid w:val="0064385A"/>
    <w:rsid w:val="0065291C"/>
    <w:rsid w:val="0065346E"/>
    <w:rsid w:val="00654E6C"/>
    <w:rsid w:val="00663A02"/>
    <w:rsid w:val="00663D24"/>
    <w:rsid w:val="006D61B7"/>
    <w:rsid w:val="006E12AF"/>
    <w:rsid w:val="006F34A4"/>
    <w:rsid w:val="00707389"/>
    <w:rsid w:val="00713A2E"/>
    <w:rsid w:val="00726170"/>
    <w:rsid w:val="00733983"/>
    <w:rsid w:val="0073610C"/>
    <w:rsid w:val="00747CA1"/>
    <w:rsid w:val="00756E94"/>
    <w:rsid w:val="00773876"/>
    <w:rsid w:val="007865DC"/>
    <w:rsid w:val="0079452F"/>
    <w:rsid w:val="007A10C7"/>
    <w:rsid w:val="007B3682"/>
    <w:rsid w:val="007C425B"/>
    <w:rsid w:val="007E1CC9"/>
    <w:rsid w:val="007E2724"/>
    <w:rsid w:val="00822B17"/>
    <w:rsid w:val="0083309A"/>
    <w:rsid w:val="0083551C"/>
    <w:rsid w:val="008572B9"/>
    <w:rsid w:val="00864A21"/>
    <w:rsid w:val="00873BDB"/>
    <w:rsid w:val="008C0184"/>
    <w:rsid w:val="008C2050"/>
    <w:rsid w:val="008D2D05"/>
    <w:rsid w:val="008D34F0"/>
    <w:rsid w:val="008D4858"/>
    <w:rsid w:val="008D5C86"/>
    <w:rsid w:val="008E0859"/>
    <w:rsid w:val="00901FEA"/>
    <w:rsid w:val="00907949"/>
    <w:rsid w:val="00921CB3"/>
    <w:rsid w:val="00923AF6"/>
    <w:rsid w:val="00923E59"/>
    <w:rsid w:val="009309DE"/>
    <w:rsid w:val="00936046"/>
    <w:rsid w:val="00936CB8"/>
    <w:rsid w:val="00937DCA"/>
    <w:rsid w:val="009526E0"/>
    <w:rsid w:val="00961D85"/>
    <w:rsid w:val="00967A1F"/>
    <w:rsid w:val="0097787D"/>
    <w:rsid w:val="0099399C"/>
    <w:rsid w:val="009B2F64"/>
    <w:rsid w:val="00A00596"/>
    <w:rsid w:val="00A05396"/>
    <w:rsid w:val="00A17953"/>
    <w:rsid w:val="00A2058A"/>
    <w:rsid w:val="00A42A69"/>
    <w:rsid w:val="00A505CD"/>
    <w:rsid w:val="00A5503E"/>
    <w:rsid w:val="00A64B8E"/>
    <w:rsid w:val="00A70A85"/>
    <w:rsid w:val="00A75F63"/>
    <w:rsid w:val="00A80A4A"/>
    <w:rsid w:val="00A827AA"/>
    <w:rsid w:val="00A83BE7"/>
    <w:rsid w:val="00AA2514"/>
    <w:rsid w:val="00AA702F"/>
    <w:rsid w:val="00AC3563"/>
    <w:rsid w:val="00AC4EA7"/>
    <w:rsid w:val="00AE38AC"/>
    <w:rsid w:val="00AE49BF"/>
    <w:rsid w:val="00B069E8"/>
    <w:rsid w:val="00B14ABC"/>
    <w:rsid w:val="00B17A8E"/>
    <w:rsid w:val="00B33A45"/>
    <w:rsid w:val="00B71342"/>
    <w:rsid w:val="00B961C8"/>
    <w:rsid w:val="00BB2BCC"/>
    <w:rsid w:val="00BB7D36"/>
    <w:rsid w:val="00BD4C6A"/>
    <w:rsid w:val="00BD63EA"/>
    <w:rsid w:val="00BE3320"/>
    <w:rsid w:val="00BE379D"/>
    <w:rsid w:val="00C122B5"/>
    <w:rsid w:val="00C45DDF"/>
    <w:rsid w:val="00C623B0"/>
    <w:rsid w:val="00C66713"/>
    <w:rsid w:val="00C76D31"/>
    <w:rsid w:val="00C83A06"/>
    <w:rsid w:val="00C84649"/>
    <w:rsid w:val="00C8688A"/>
    <w:rsid w:val="00C95C84"/>
    <w:rsid w:val="00CA44E2"/>
    <w:rsid w:val="00CB40DF"/>
    <w:rsid w:val="00CC0D0E"/>
    <w:rsid w:val="00CC2D90"/>
    <w:rsid w:val="00CD2D36"/>
    <w:rsid w:val="00CF1764"/>
    <w:rsid w:val="00CF3518"/>
    <w:rsid w:val="00CF51A1"/>
    <w:rsid w:val="00CF5D1B"/>
    <w:rsid w:val="00CF7E4A"/>
    <w:rsid w:val="00D04FEE"/>
    <w:rsid w:val="00D17D96"/>
    <w:rsid w:val="00D24697"/>
    <w:rsid w:val="00D3422C"/>
    <w:rsid w:val="00D6120D"/>
    <w:rsid w:val="00D64BF1"/>
    <w:rsid w:val="00D7289F"/>
    <w:rsid w:val="00D76230"/>
    <w:rsid w:val="00D77E4B"/>
    <w:rsid w:val="00DA5BE8"/>
    <w:rsid w:val="00DA6BF3"/>
    <w:rsid w:val="00DF121A"/>
    <w:rsid w:val="00DF2341"/>
    <w:rsid w:val="00E04E68"/>
    <w:rsid w:val="00E04E6F"/>
    <w:rsid w:val="00E3499A"/>
    <w:rsid w:val="00E354EB"/>
    <w:rsid w:val="00E41B40"/>
    <w:rsid w:val="00E43C32"/>
    <w:rsid w:val="00E70031"/>
    <w:rsid w:val="00E915AA"/>
    <w:rsid w:val="00E91CBC"/>
    <w:rsid w:val="00EB149F"/>
    <w:rsid w:val="00ED3E5F"/>
    <w:rsid w:val="00ED52CF"/>
    <w:rsid w:val="00EE11A9"/>
    <w:rsid w:val="00EE1AA3"/>
    <w:rsid w:val="00EE4CD7"/>
    <w:rsid w:val="00EE5983"/>
    <w:rsid w:val="00EF4FC6"/>
    <w:rsid w:val="00EF6EDC"/>
    <w:rsid w:val="00F060CE"/>
    <w:rsid w:val="00F14F3C"/>
    <w:rsid w:val="00F1542E"/>
    <w:rsid w:val="00F23F8E"/>
    <w:rsid w:val="00F25D7C"/>
    <w:rsid w:val="00F37D19"/>
    <w:rsid w:val="00F64E9A"/>
    <w:rsid w:val="00F67919"/>
    <w:rsid w:val="00F81434"/>
    <w:rsid w:val="00F92CE2"/>
    <w:rsid w:val="00F94A0D"/>
    <w:rsid w:val="00FD1AB1"/>
    <w:rsid w:val="00FD2F70"/>
    <w:rsid w:val="00FE2232"/>
    <w:rsid w:val="00FF1064"/>
    <w:rsid w:val="00FF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paragraph" w:styleId="a9">
    <w:name w:val="List Paragraph"/>
    <w:basedOn w:val="a"/>
    <w:uiPriority w:val="34"/>
    <w:qFormat/>
    <w:rsid w:val="00FF5F39"/>
    <w:pPr>
      <w:ind w:leftChars="400" w:left="840"/>
    </w:pPr>
  </w:style>
  <w:style w:type="character" w:styleId="aa">
    <w:name w:val="Unresolved Mention"/>
    <w:basedOn w:val="a0"/>
    <w:uiPriority w:val="99"/>
    <w:semiHidden/>
    <w:unhideWhenUsed/>
    <w:rsid w:val="000D063E"/>
    <w:rPr>
      <w:color w:val="605E5C"/>
      <w:shd w:val="clear" w:color="auto" w:fill="E1DFDD"/>
    </w:rPr>
  </w:style>
  <w:style w:type="character" w:styleId="ab">
    <w:name w:val="FollowedHyperlink"/>
    <w:basedOn w:val="a0"/>
    <w:uiPriority w:val="99"/>
    <w:semiHidden/>
    <w:unhideWhenUsed/>
    <w:rsid w:val="000D063E"/>
    <w:rPr>
      <w:color w:val="954F72" w:themeColor="followedHyperlink"/>
      <w:u w:val="single"/>
    </w:rPr>
  </w:style>
  <w:style w:type="character" w:styleId="ac">
    <w:name w:val="annotation reference"/>
    <w:basedOn w:val="a0"/>
    <w:uiPriority w:val="99"/>
    <w:semiHidden/>
    <w:unhideWhenUsed/>
    <w:rsid w:val="00597074"/>
    <w:rPr>
      <w:sz w:val="18"/>
      <w:szCs w:val="18"/>
    </w:rPr>
  </w:style>
  <w:style w:type="paragraph" w:styleId="ad">
    <w:name w:val="annotation text"/>
    <w:basedOn w:val="a"/>
    <w:link w:val="ae"/>
    <w:uiPriority w:val="99"/>
    <w:semiHidden/>
    <w:unhideWhenUsed/>
    <w:rsid w:val="00597074"/>
    <w:pPr>
      <w:jc w:val="left"/>
    </w:pPr>
  </w:style>
  <w:style w:type="character" w:customStyle="1" w:styleId="ae">
    <w:name w:val="コメント文字列 (文字)"/>
    <w:basedOn w:val="a0"/>
    <w:link w:val="ad"/>
    <w:uiPriority w:val="99"/>
    <w:semiHidden/>
    <w:rsid w:val="00597074"/>
  </w:style>
  <w:style w:type="paragraph" w:styleId="af">
    <w:name w:val="annotation subject"/>
    <w:basedOn w:val="ad"/>
    <w:next w:val="ad"/>
    <w:link w:val="af0"/>
    <w:uiPriority w:val="99"/>
    <w:semiHidden/>
    <w:unhideWhenUsed/>
    <w:rsid w:val="007E2724"/>
    <w:rPr>
      <w:b/>
      <w:bCs/>
    </w:rPr>
  </w:style>
  <w:style w:type="character" w:customStyle="1" w:styleId="af0">
    <w:name w:val="コメント内容 (文字)"/>
    <w:basedOn w:val="ae"/>
    <w:link w:val="af"/>
    <w:uiPriority w:val="99"/>
    <w:semiHidden/>
    <w:rsid w:val="007E27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age2.jimin.jp/pdf/news/policy/200955_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EDC-9A66-40FA-BA39-E53FE969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2026-02-19T06:59:00Z</dcterms:created>
  <dcterms:modified xsi:type="dcterms:W3CDTF">2026-02-24T00:38:00Z</dcterms:modified>
</cp:coreProperties>
</file>