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035A4" w14:textId="6FCDF192" w:rsidR="00961D85" w:rsidRPr="00562740" w:rsidRDefault="00B961C8">
      <w:pPr>
        <w:rPr>
          <w:sz w:val="22"/>
        </w:rPr>
      </w:pPr>
      <w:r w:rsidRPr="00562740">
        <w:rPr>
          <w:rFonts w:hint="eastAsia"/>
          <w:sz w:val="22"/>
        </w:rPr>
        <w:t>令和</w:t>
      </w:r>
      <w:r w:rsidR="00CA44E2" w:rsidRPr="00562740">
        <w:rPr>
          <w:rFonts w:hint="eastAsia"/>
          <w:sz w:val="22"/>
        </w:rPr>
        <w:t>７</w:t>
      </w:r>
      <w:r w:rsidRPr="00562740">
        <w:rPr>
          <w:rFonts w:hint="eastAsia"/>
          <w:sz w:val="22"/>
        </w:rPr>
        <w:t>年度「</w:t>
      </w:r>
      <w:r w:rsidR="00961D85" w:rsidRPr="00562740">
        <w:rPr>
          <w:sz w:val="22"/>
        </w:rPr>
        <w:t>大阪</w:t>
      </w:r>
      <w:r w:rsidR="0059397C" w:rsidRPr="00562740">
        <w:rPr>
          <w:rFonts w:hint="eastAsia"/>
          <w:sz w:val="22"/>
        </w:rPr>
        <w:t>ＩＲ</w:t>
      </w:r>
      <w:r w:rsidR="00961D85" w:rsidRPr="00562740">
        <w:rPr>
          <w:sz w:val="22"/>
        </w:rPr>
        <w:t>（統合型リゾート）説明会</w:t>
      </w:r>
      <w:r w:rsidRPr="00562740">
        <w:rPr>
          <w:rFonts w:hint="eastAsia"/>
          <w:sz w:val="22"/>
        </w:rPr>
        <w:t>」（第</w:t>
      </w:r>
      <w:r w:rsidR="00CA44E2" w:rsidRPr="00562740">
        <w:rPr>
          <w:rFonts w:hint="eastAsia"/>
          <w:sz w:val="22"/>
        </w:rPr>
        <w:t>１</w:t>
      </w:r>
      <w:r w:rsidRPr="00562740">
        <w:rPr>
          <w:rFonts w:hint="eastAsia"/>
          <w:sz w:val="22"/>
        </w:rPr>
        <w:t>回）</w:t>
      </w:r>
      <w:r w:rsidR="00961D85" w:rsidRPr="00562740">
        <w:rPr>
          <w:sz w:val="22"/>
        </w:rPr>
        <w:t xml:space="preserve">　アンケートによる質問について</w:t>
      </w:r>
    </w:p>
    <w:p w14:paraId="748AEC1A" w14:textId="67EDD52C" w:rsidR="00961D85" w:rsidRPr="00562740" w:rsidRDefault="00961D85" w:rsidP="00961D85">
      <w:pPr>
        <w:ind w:firstLineChars="100" w:firstLine="210"/>
      </w:pPr>
      <w:r w:rsidRPr="00562740">
        <w:rPr>
          <w:rFonts w:hint="eastAsia"/>
        </w:rPr>
        <w:t xml:space="preserve">●受付件数　</w:t>
      </w:r>
      <w:r w:rsidR="0073610C" w:rsidRPr="00562740">
        <w:t>20</w:t>
      </w:r>
      <w:r w:rsidRPr="00562740">
        <w:rPr>
          <w:rFonts w:hint="eastAsia"/>
        </w:rPr>
        <w:t>件</w:t>
      </w:r>
      <w:r w:rsidR="002F40C4" w:rsidRPr="00562740">
        <w:rPr>
          <w:rFonts w:hint="eastAsia"/>
        </w:rPr>
        <w:t xml:space="preserve">　　　　　　　　　　　　　　　　　　　　　　　　　　　　　　　　　　　　　　　　　　　　　　　　　　</w:t>
      </w:r>
    </w:p>
    <w:tbl>
      <w:tblPr>
        <w:tblStyle w:val="a3"/>
        <w:tblW w:w="15446" w:type="dxa"/>
        <w:tblLook w:val="04A0" w:firstRow="1" w:lastRow="0" w:firstColumn="1" w:lastColumn="0" w:noHBand="0" w:noVBand="1"/>
      </w:tblPr>
      <w:tblGrid>
        <w:gridCol w:w="704"/>
        <w:gridCol w:w="5528"/>
        <w:gridCol w:w="9214"/>
      </w:tblGrid>
      <w:tr w:rsidR="0034417C" w:rsidRPr="00562740" w14:paraId="61F16231" w14:textId="77777777" w:rsidTr="0034417C">
        <w:trPr>
          <w:trHeight w:val="324"/>
        </w:trPr>
        <w:tc>
          <w:tcPr>
            <w:tcW w:w="704" w:type="dxa"/>
          </w:tcPr>
          <w:p w14:paraId="1090A34D" w14:textId="77777777" w:rsidR="0034417C" w:rsidRPr="00562740" w:rsidRDefault="0034417C">
            <w:pPr>
              <w:rPr>
                <w:sz w:val="20"/>
                <w:szCs w:val="20"/>
              </w:rPr>
            </w:pPr>
            <w:bookmarkStart w:id="0" w:name="_Hlk202194018"/>
          </w:p>
        </w:tc>
        <w:tc>
          <w:tcPr>
            <w:tcW w:w="5528" w:type="dxa"/>
          </w:tcPr>
          <w:p w14:paraId="17D56C36" w14:textId="77777777" w:rsidR="0034417C" w:rsidRPr="00562740" w:rsidRDefault="0034417C" w:rsidP="00961D85">
            <w:pPr>
              <w:jc w:val="center"/>
              <w:rPr>
                <w:szCs w:val="21"/>
              </w:rPr>
            </w:pPr>
            <w:r w:rsidRPr="00562740">
              <w:rPr>
                <w:rFonts w:hint="eastAsia"/>
                <w:szCs w:val="21"/>
              </w:rPr>
              <w:t>質問</w:t>
            </w:r>
          </w:p>
        </w:tc>
        <w:tc>
          <w:tcPr>
            <w:tcW w:w="9214" w:type="dxa"/>
          </w:tcPr>
          <w:p w14:paraId="71A4FFAC" w14:textId="1E553BE3" w:rsidR="0034417C" w:rsidRPr="00562740" w:rsidRDefault="0034417C" w:rsidP="00961D85">
            <w:pPr>
              <w:jc w:val="center"/>
              <w:rPr>
                <w:szCs w:val="21"/>
              </w:rPr>
            </w:pPr>
            <w:r w:rsidRPr="00562740">
              <w:rPr>
                <w:rFonts w:hint="eastAsia"/>
                <w:szCs w:val="21"/>
              </w:rPr>
              <w:t>回答</w:t>
            </w:r>
          </w:p>
        </w:tc>
      </w:tr>
      <w:bookmarkEnd w:id="0"/>
      <w:tr w:rsidR="006D6C0F" w:rsidRPr="00562740" w14:paraId="715CF16D" w14:textId="77777777" w:rsidTr="00640A42">
        <w:trPr>
          <w:trHeight w:val="1095"/>
        </w:trPr>
        <w:tc>
          <w:tcPr>
            <w:tcW w:w="704" w:type="dxa"/>
          </w:tcPr>
          <w:p w14:paraId="6F8B7ECC" w14:textId="77777777" w:rsidR="006D6C0F" w:rsidRPr="00562740" w:rsidRDefault="006D6C0F" w:rsidP="00640A42">
            <w:pPr>
              <w:jc w:val="center"/>
              <w:rPr>
                <w:sz w:val="20"/>
                <w:szCs w:val="20"/>
              </w:rPr>
            </w:pPr>
            <w:r w:rsidRPr="00562740">
              <w:rPr>
                <w:rFonts w:hint="eastAsia"/>
                <w:sz w:val="20"/>
                <w:szCs w:val="20"/>
              </w:rPr>
              <w:t>1</w:t>
            </w:r>
          </w:p>
        </w:tc>
        <w:tc>
          <w:tcPr>
            <w:tcW w:w="5528" w:type="dxa"/>
          </w:tcPr>
          <w:p w14:paraId="558C55EA" w14:textId="21CD9C31" w:rsidR="006D6C0F" w:rsidRPr="00562740" w:rsidRDefault="006D6C0F" w:rsidP="00640A42">
            <w:pPr>
              <w:ind w:firstLineChars="100" w:firstLine="200"/>
              <w:rPr>
                <w:sz w:val="20"/>
                <w:szCs w:val="20"/>
              </w:rPr>
            </w:pPr>
            <w:r w:rsidRPr="00562740">
              <w:rPr>
                <w:rFonts w:hint="eastAsia"/>
                <w:sz w:val="20"/>
                <w:szCs w:val="20"/>
              </w:rPr>
              <w:t>南海トラフ地震、水道管等、老朽インフラの問題、オンラインギャンブル（競馬等公営ギャンブルふくむ）問題、教育、福祉、医療現場の人手不足と機能不全、社会基盤を担う技術者の不足、あらゆる業界の人手不足など解決すべき問題が山積する中、限られた血税、限られた人材をどこに注入すべきか、考えるのが行政の責任ではないか。</w:t>
            </w:r>
          </w:p>
        </w:tc>
        <w:tc>
          <w:tcPr>
            <w:tcW w:w="9214" w:type="dxa"/>
          </w:tcPr>
          <w:p w14:paraId="03C8CAF4" w14:textId="77777777" w:rsidR="006D6C0F" w:rsidRPr="00562740" w:rsidRDefault="006D6C0F" w:rsidP="00640A42">
            <w:pPr>
              <w:ind w:firstLineChars="100" w:firstLine="200"/>
              <w:rPr>
                <w:sz w:val="20"/>
                <w:szCs w:val="20"/>
              </w:rPr>
            </w:pPr>
            <w:r w:rsidRPr="00562740">
              <w:rPr>
                <w:rFonts w:hint="eastAsia"/>
                <w:sz w:val="20"/>
                <w:szCs w:val="20"/>
              </w:rPr>
              <w:t>人口減少や超高齢化が進み、需要・労働力の減少などが懸念される中において、大阪の更なる成長のためには、今後の市場拡大など将来性が見込まれる成長産業への注力が必要と考えています。</w:t>
            </w:r>
          </w:p>
          <w:p w14:paraId="491E970E" w14:textId="77777777" w:rsidR="006D6C0F" w:rsidRPr="00562740" w:rsidRDefault="006D6C0F" w:rsidP="00640A42">
            <w:pPr>
              <w:ind w:firstLineChars="100" w:firstLine="200"/>
              <w:rPr>
                <w:sz w:val="20"/>
                <w:szCs w:val="20"/>
              </w:rPr>
            </w:pPr>
            <w:r w:rsidRPr="00562740">
              <w:rPr>
                <w:rFonts w:hint="eastAsia"/>
                <w:sz w:val="20"/>
                <w:szCs w:val="20"/>
              </w:rPr>
              <w:t>この点、世界的にも著しい成長分野であるインバウンドは大きな可能性を有しており、裾野が広い観光産業は日本における基幹産業へと成長するポテンシャルを有するとして、国においては、観光は成長戦略の柱であるという認識のもと、訪日外国人旅行者数を</w:t>
            </w:r>
            <w:r w:rsidRPr="00562740">
              <w:rPr>
                <w:sz w:val="20"/>
                <w:szCs w:val="20"/>
              </w:rPr>
              <w:t>2030年に6,000万人とする目標を掲げ、観光立国の実現をめざしているところ</w:t>
            </w:r>
            <w:r w:rsidRPr="00562740">
              <w:rPr>
                <w:rFonts w:hint="eastAsia"/>
                <w:sz w:val="20"/>
                <w:szCs w:val="20"/>
              </w:rPr>
              <w:t>です</w:t>
            </w:r>
            <w:r w:rsidRPr="00562740">
              <w:rPr>
                <w:sz w:val="20"/>
                <w:szCs w:val="20"/>
              </w:rPr>
              <w:t>。</w:t>
            </w:r>
          </w:p>
          <w:p w14:paraId="3595D891" w14:textId="77777777" w:rsidR="006D6C0F" w:rsidRPr="00562740" w:rsidRDefault="006D6C0F" w:rsidP="00640A42">
            <w:pPr>
              <w:ind w:firstLineChars="100" w:firstLine="200"/>
              <w:rPr>
                <w:sz w:val="20"/>
                <w:szCs w:val="20"/>
              </w:rPr>
            </w:pPr>
            <w:r w:rsidRPr="00562740">
              <w:rPr>
                <w:rFonts w:hint="eastAsia"/>
                <w:sz w:val="20"/>
                <w:szCs w:val="20"/>
              </w:rPr>
              <w:t>大阪・関西は大きな人口・経済規模を有し、国宝や重要文化財などの豊富な観光資源が集積しており、大阪においては、旅行者数が全国を上回る伸び率で増加し、旅行消費額も大きく増加するなど、観光産業には大きなニーズと将来性があります。</w:t>
            </w:r>
          </w:p>
          <w:p w14:paraId="50A1FC68" w14:textId="699EA13D" w:rsidR="00491A3D" w:rsidRPr="00562740" w:rsidRDefault="006D6C0F" w:rsidP="00AC0E5F">
            <w:pPr>
              <w:ind w:firstLineChars="100" w:firstLine="200"/>
              <w:rPr>
                <w:sz w:val="20"/>
                <w:szCs w:val="20"/>
              </w:rPr>
            </w:pPr>
            <w:r w:rsidRPr="00562740">
              <w:rPr>
                <w:rFonts w:hint="eastAsia"/>
                <w:sz w:val="20"/>
                <w:szCs w:val="20"/>
              </w:rPr>
              <w:t>大阪府・市は、ＩＲ整備法に基づき、大阪・関西が有するポテンシャルと民間の創意工夫を最大限活かしつつ、ＩＲを実現することで、成長産業たる観光分野の基幹産業化を図るとともに、大阪経済の更なる成長を実現し、もって国全体の観光及び経済振興をめざしています。</w:t>
            </w:r>
          </w:p>
        </w:tc>
      </w:tr>
    </w:tbl>
    <w:p w14:paraId="77BBD5C0" w14:textId="77777777" w:rsidR="007056B1" w:rsidRPr="00562740" w:rsidRDefault="007056B1">
      <w:r w:rsidRPr="00562740">
        <w:br w:type="page"/>
      </w:r>
    </w:p>
    <w:tbl>
      <w:tblPr>
        <w:tblStyle w:val="a3"/>
        <w:tblW w:w="15446" w:type="dxa"/>
        <w:tblLook w:val="04A0" w:firstRow="1" w:lastRow="0" w:firstColumn="1" w:lastColumn="0" w:noHBand="0" w:noVBand="1"/>
      </w:tblPr>
      <w:tblGrid>
        <w:gridCol w:w="704"/>
        <w:gridCol w:w="5528"/>
        <w:gridCol w:w="9214"/>
      </w:tblGrid>
      <w:tr w:rsidR="006D6C0F" w:rsidRPr="00562740" w14:paraId="01E9CC67" w14:textId="77777777" w:rsidTr="00640A42">
        <w:trPr>
          <w:trHeight w:val="359"/>
        </w:trPr>
        <w:tc>
          <w:tcPr>
            <w:tcW w:w="704" w:type="dxa"/>
          </w:tcPr>
          <w:p w14:paraId="0342E1C8" w14:textId="22D2455D" w:rsidR="006D6C0F" w:rsidRPr="00562740" w:rsidRDefault="002962D3" w:rsidP="00640A42">
            <w:pPr>
              <w:jc w:val="center"/>
              <w:rPr>
                <w:sz w:val="20"/>
                <w:szCs w:val="20"/>
              </w:rPr>
            </w:pPr>
            <w:r w:rsidRPr="00562740">
              <w:rPr>
                <w:rFonts w:hint="eastAsia"/>
                <w:sz w:val="20"/>
                <w:szCs w:val="20"/>
              </w:rPr>
              <w:lastRenderedPageBreak/>
              <w:t>２</w:t>
            </w:r>
          </w:p>
        </w:tc>
        <w:tc>
          <w:tcPr>
            <w:tcW w:w="5528" w:type="dxa"/>
          </w:tcPr>
          <w:p w14:paraId="1F57FC68" w14:textId="3F46A721" w:rsidR="006D6C0F" w:rsidRPr="00562740" w:rsidRDefault="006D6C0F" w:rsidP="00640A42">
            <w:pPr>
              <w:ind w:firstLineChars="100" w:firstLine="200"/>
              <w:rPr>
                <w:sz w:val="20"/>
                <w:szCs w:val="20"/>
              </w:rPr>
            </w:pPr>
            <w:r w:rsidRPr="00562740">
              <w:rPr>
                <w:rFonts w:hint="eastAsia"/>
                <w:sz w:val="20"/>
                <w:szCs w:val="20"/>
              </w:rPr>
              <w:t>ＩＲは絶対反対、即刻中止せよ。</w:t>
            </w:r>
          </w:p>
        </w:tc>
        <w:tc>
          <w:tcPr>
            <w:tcW w:w="9214" w:type="dxa"/>
          </w:tcPr>
          <w:p w14:paraId="0D7AD9D5" w14:textId="77777777" w:rsidR="006D6C0F" w:rsidRPr="00562740" w:rsidRDefault="006D6C0F" w:rsidP="00640A42">
            <w:pPr>
              <w:ind w:firstLineChars="100" w:firstLine="200"/>
              <w:rPr>
                <w:sz w:val="20"/>
                <w:szCs w:val="20"/>
              </w:rPr>
            </w:pPr>
            <w:r w:rsidRPr="00562740">
              <w:rPr>
                <w:sz w:val="20"/>
                <w:szCs w:val="20"/>
              </w:rPr>
              <w:t xml:space="preserve">ＩＲは、ホテル、ＭＩＣＥ施設、レストラン、エンターテイメント施設、カジノ施設など、多くの集客施設を民間事業者が一体的に整備・運営する複合型の施設であり、民間事業者の活力と創意工夫を最大限に活かす民設民営の事業です。 </w:t>
            </w:r>
          </w:p>
          <w:p w14:paraId="3D036EC3" w14:textId="61FFBA7B" w:rsidR="006D6C0F" w:rsidRPr="00562740" w:rsidRDefault="006D6C0F" w:rsidP="00640A42">
            <w:pPr>
              <w:ind w:firstLineChars="100" w:firstLine="200"/>
              <w:rPr>
                <w:sz w:val="20"/>
                <w:szCs w:val="20"/>
              </w:rPr>
            </w:pPr>
            <w:r w:rsidRPr="00562740">
              <w:rPr>
                <w:sz w:val="20"/>
                <w:szCs w:val="20"/>
              </w:rPr>
              <w:t>大阪・夢洲でのＩＲ立地は、世界中から新たに人、モノ、投資を呼び込むものであり、持続的な民間投資による経済波及効果や雇用創出効果に加え、幅広い産業分野の活性化など、大阪の経済成長に大きく貢献するものです。</w:t>
            </w:r>
          </w:p>
          <w:p w14:paraId="47BCF306" w14:textId="77777777" w:rsidR="006D6C0F" w:rsidRPr="00562740" w:rsidRDefault="006D6C0F" w:rsidP="00640A42">
            <w:pPr>
              <w:ind w:firstLineChars="100" w:firstLine="200"/>
              <w:rPr>
                <w:sz w:val="20"/>
                <w:szCs w:val="20"/>
              </w:rPr>
            </w:pPr>
            <w:r w:rsidRPr="00562740">
              <w:rPr>
                <w:sz w:val="20"/>
                <w:szCs w:val="20"/>
              </w:rPr>
              <w:t xml:space="preserve">ＩＲは、カジノの収益をＩＲの各施設に還元することにより、新たな国際会議や展示会の誘致をはじめ、ＩＲへの来訪者を大阪府内、関西、日本各地の観光地等へ送り出すことなど、その効果を波及させることが期待されます。 </w:t>
            </w:r>
          </w:p>
          <w:p w14:paraId="36C41242" w14:textId="77777777" w:rsidR="006D6C0F" w:rsidRPr="00562740" w:rsidRDefault="006D6C0F" w:rsidP="00640A42">
            <w:pPr>
              <w:ind w:firstLineChars="100" w:firstLine="200"/>
              <w:rPr>
                <w:sz w:val="20"/>
                <w:szCs w:val="20"/>
              </w:rPr>
            </w:pPr>
            <w:r w:rsidRPr="00562740">
              <w:rPr>
                <w:sz w:val="20"/>
                <w:szCs w:val="20"/>
              </w:rPr>
              <w:t>さらに、納付金や入場料を活用し、ギャンブル等依存症対策などの懸念事項対策をはじめ、子育てや教育、福祉、観光振興や地域経済振興など、住民福祉の増進や大阪の成長・投資に向けて広く活用することにより、府民・市民の暮らしの充実やさらなる都市の魅力と国際競争力の向上を図り、大阪・関西の持続的な成長につなげていくこととしています。</w:t>
            </w:r>
          </w:p>
          <w:p w14:paraId="1AFD4918" w14:textId="059C9407" w:rsidR="00491A3D" w:rsidRPr="00562740" w:rsidRDefault="006D6C0F" w:rsidP="00AC0E5F">
            <w:pPr>
              <w:ind w:firstLineChars="100" w:firstLine="200"/>
              <w:rPr>
                <w:sz w:val="20"/>
                <w:szCs w:val="20"/>
              </w:rPr>
            </w:pPr>
            <w:r w:rsidRPr="00562740">
              <w:rPr>
                <w:rFonts w:hint="eastAsia"/>
                <w:sz w:val="20"/>
                <w:szCs w:val="20"/>
              </w:rPr>
              <w:t>大阪ＩＲ</w:t>
            </w:r>
            <w:r w:rsidRPr="00562740">
              <w:rPr>
                <w:sz w:val="20"/>
                <w:szCs w:val="20"/>
              </w:rPr>
              <w:t>については、</w:t>
            </w:r>
            <w:r w:rsidRPr="00562740">
              <w:rPr>
                <w:rFonts w:hint="eastAsia"/>
                <w:sz w:val="20"/>
                <w:szCs w:val="20"/>
              </w:rPr>
              <w:t>ＩＲ</w:t>
            </w:r>
            <w:r w:rsidRPr="00562740">
              <w:rPr>
                <w:sz w:val="20"/>
                <w:szCs w:val="20"/>
              </w:rPr>
              <w:t>整備法等で定められたスキームに基づき、説明会の他、法定の公聴会やパブリックコメントを経たうえで、</w:t>
            </w:r>
            <w:r w:rsidR="00B572F2" w:rsidRPr="00562740">
              <w:rPr>
                <w:rFonts w:hint="eastAsia"/>
                <w:sz w:val="20"/>
                <w:szCs w:val="20"/>
              </w:rPr>
              <w:t>大阪</w:t>
            </w:r>
            <w:r w:rsidRPr="00562740">
              <w:rPr>
                <w:sz w:val="20"/>
                <w:szCs w:val="20"/>
              </w:rPr>
              <w:t>府</w:t>
            </w:r>
            <w:r w:rsidR="00B26DFE" w:rsidRPr="00562740">
              <w:rPr>
                <w:rFonts w:hint="eastAsia"/>
                <w:sz w:val="20"/>
                <w:szCs w:val="20"/>
              </w:rPr>
              <w:t>・</w:t>
            </w:r>
            <w:r w:rsidRPr="00562740">
              <w:rPr>
                <w:sz w:val="20"/>
                <w:szCs w:val="20"/>
              </w:rPr>
              <w:t>市の両議会で議決され、令和４年４月に国へ区域整備計画の認定申請を行い、令和５年４月に国から認定を受けたもの</w:t>
            </w:r>
            <w:r w:rsidRPr="00562740">
              <w:rPr>
                <w:rFonts w:hint="eastAsia"/>
                <w:sz w:val="20"/>
                <w:szCs w:val="20"/>
              </w:rPr>
              <w:t>です</w:t>
            </w:r>
            <w:r w:rsidRPr="00562740">
              <w:rPr>
                <w:sz w:val="20"/>
                <w:szCs w:val="20"/>
              </w:rPr>
              <w:t>。</w:t>
            </w:r>
            <w:r w:rsidRPr="00562740">
              <w:rPr>
                <w:rFonts w:hint="eastAsia"/>
                <w:sz w:val="20"/>
                <w:szCs w:val="20"/>
              </w:rPr>
              <w:t>今後も引き続き、大阪・関西の持続的な成長のエンジンとなるＩＲの実現に向けて、公民連携して着実に取組みを進めていきます。</w:t>
            </w:r>
          </w:p>
        </w:tc>
      </w:tr>
      <w:tr w:rsidR="006D6C0F" w:rsidRPr="00562740" w14:paraId="53ACFD0F" w14:textId="77777777" w:rsidTr="00640A42">
        <w:trPr>
          <w:trHeight w:val="359"/>
        </w:trPr>
        <w:tc>
          <w:tcPr>
            <w:tcW w:w="704" w:type="dxa"/>
          </w:tcPr>
          <w:p w14:paraId="3D1E1CD5" w14:textId="77777777" w:rsidR="006D6C0F" w:rsidRPr="00562740" w:rsidRDefault="006D6C0F" w:rsidP="00640A42">
            <w:pPr>
              <w:jc w:val="center"/>
              <w:rPr>
                <w:sz w:val="20"/>
                <w:szCs w:val="20"/>
              </w:rPr>
            </w:pPr>
            <w:r w:rsidRPr="00562740">
              <w:rPr>
                <w:sz w:val="20"/>
                <w:szCs w:val="20"/>
              </w:rPr>
              <w:t>3</w:t>
            </w:r>
          </w:p>
        </w:tc>
        <w:tc>
          <w:tcPr>
            <w:tcW w:w="5528" w:type="dxa"/>
          </w:tcPr>
          <w:p w14:paraId="4744EC46" w14:textId="77777777" w:rsidR="006D6C0F" w:rsidRPr="00562740" w:rsidRDefault="006D6C0F" w:rsidP="00640A42">
            <w:pPr>
              <w:ind w:firstLineChars="100" w:firstLine="200"/>
              <w:rPr>
                <w:sz w:val="20"/>
                <w:szCs w:val="20"/>
              </w:rPr>
            </w:pPr>
            <w:r w:rsidRPr="00562740">
              <w:rPr>
                <w:rFonts w:hint="eastAsia"/>
                <w:sz w:val="20"/>
                <w:szCs w:val="20"/>
              </w:rPr>
              <w:t>大阪・関西万博とのシナジーはないのか。</w:t>
            </w:r>
          </w:p>
        </w:tc>
        <w:tc>
          <w:tcPr>
            <w:tcW w:w="9214" w:type="dxa"/>
          </w:tcPr>
          <w:p w14:paraId="3A290B8D" w14:textId="62E7957A" w:rsidR="00491A3D" w:rsidRPr="00562740" w:rsidRDefault="006D6C0F" w:rsidP="00AC0E5F">
            <w:pPr>
              <w:ind w:firstLineChars="100" w:firstLine="200"/>
              <w:rPr>
                <w:sz w:val="20"/>
                <w:szCs w:val="20"/>
              </w:rPr>
            </w:pPr>
            <w:r w:rsidRPr="00562740">
              <w:rPr>
                <w:rFonts w:hint="eastAsia"/>
                <w:sz w:val="20"/>
                <w:szCs w:val="20"/>
              </w:rPr>
              <w:t>大阪ＩＲでは、</w:t>
            </w:r>
            <w:r w:rsidRPr="00562740">
              <w:rPr>
                <w:sz w:val="20"/>
                <w:szCs w:val="20"/>
              </w:rPr>
              <w:t>大阪･関西万博のレガシーを継承し、大阪・関西の新たな技術の実証･実装や世界への発信に取り組み、ＩＲ区域外の既存施設と連携した新たなＭＩＣＥイベントやコンテンツの創出等により、国際競争力のある地元産業の振興に貢献</w:t>
            </w:r>
            <w:r w:rsidRPr="00562740">
              <w:rPr>
                <w:rFonts w:hint="eastAsia"/>
                <w:sz w:val="20"/>
                <w:szCs w:val="20"/>
              </w:rPr>
              <w:t>することとしています</w:t>
            </w:r>
            <w:r w:rsidRPr="00562740">
              <w:rPr>
                <w:sz w:val="20"/>
                <w:szCs w:val="20"/>
              </w:rPr>
              <w:t>。</w:t>
            </w:r>
          </w:p>
        </w:tc>
      </w:tr>
    </w:tbl>
    <w:p w14:paraId="463A71AE" w14:textId="77777777" w:rsidR="007056B1" w:rsidRPr="00562740" w:rsidRDefault="007056B1">
      <w:r w:rsidRPr="00562740">
        <w:br w:type="page"/>
      </w:r>
    </w:p>
    <w:tbl>
      <w:tblPr>
        <w:tblStyle w:val="a3"/>
        <w:tblW w:w="15446" w:type="dxa"/>
        <w:tblLook w:val="04A0" w:firstRow="1" w:lastRow="0" w:firstColumn="1" w:lastColumn="0" w:noHBand="0" w:noVBand="1"/>
      </w:tblPr>
      <w:tblGrid>
        <w:gridCol w:w="704"/>
        <w:gridCol w:w="5528"/>
        <w:gridCol w:w="9214"/>
      </w:tblGrid>
      <w:tr w:rsidR="006D6C0F" w:rsidRPr="00562740" w14:paraId="2E683EAA" w14:textId="77777777" w:rsidTr="00640A42">
        <w:trPr>
          <w:trHeight w:val="359"/>
        </w:trPr>
        <w:tc>
          <w:tcPr>
            <w:tcW w:w="704" w:type="dxa"/>
          </w:tcPr>
          <w:p w14:paraId="21253E84" w14:textId="7C042633" w:rsidR="006D6C0F" w:rsidRPr="00562740" w:rsidRDefault="002962D3" w:rsidP="00640A42">
            <w:pPr>
              <w:jc w:val="center"/>
              <w:rPr>
                <w:sz w:val="20"/>
                <w:szCs w:val="20"/>
              </w:rPr>
            </w:pPr>
            <w:r w:rsidRPr="00562740">
              <w:rPr>
                <w:rFonts w:hint="eastAsia"/>
                <w:sz w:val="20"/>
                <w:szCs w:val="20"/>
              </w:rPr>
              <w:lastRenderedPageBreak/>
              <w:t>４</w:t>
            </w:r>
          </w:p>
        </w:tc>
        <w:tc>
          <w:tcPr>
            <w:tcW w:w="5528" w:type="dxa"/>
          </w:tcPr>
          <w:p w14:paraId="2CDC09F9" w14:textId="77777777" w:rsidR="006D6C0F" w:rsidRPr="00562740" w:rsidRDefault="006D6C0F" w:rsidP="00640A42">
            <w:pPr>
              <w:rPr>
                <w:sz w:val="20"/>
                <w:szCs w:val="20"/>
              </w:rPr>
            </w:pPr>
            <w:r w:rsidRPr="00562740">
              <w:rPr>
                <w:rFonts w:hint="eastAsia"/>
                <w:sz w:val="20"/>
                <w:szCs w:val="20"/>
              </w:rPr>
              <w:t xml:space="preserve">　「結びの庭」ゾーンには、商業店舗等とありますが</w:t>
            </w:r>
          </w:p>
          <w:p w14:paraId="10775BE5" w14:textId="77777777" w:rsidR="006D6C0F" w:rsidRPr="00562740" w:rsidRDefault="006D6C0F" w:rsidP="00640A42">
            <w:pPr>
              <w:pStyle w:val="a9"/>
              <w:numPr>
                <w:ilvl w:val="0"/>
                <w:numId w:val="4"/>
              </w:numPr>
              <w:ind w:leftChars="0"/>
              <w:rPr>
                <w:sz w:val="20"/>
                <w:szCs w:val="20"/>
              </w:rPr>
            </w:pPr>
            <w:r w:rsidRPr="00562740">
              <w:rPr>
                <w:rFonts w:hint="eastAsia"/>
                <w:sz w:val="20"/>
                <w:szCs w:val="20"/>
              </w:rPr>
              <w:t>今後テナントの募集予定はありますか？ある場合は、おおよその時期をご教示ください。</w:t>
            </w:r>
          </w:p>
          <w:p w14:paraId="4E0D09C7" w14:textId="77777777" w:rsidR="006D6C0F" w:rsidRPr="00562740" w:rsidRDefault="006D6C0F" w:rsidP="00640A42">
            <w:pPr>
              <w:pStyle w:val="a9"/>
              <w:numPr>
                <w:ilvl w:val="0"/>
                <w:numId w:val="4"/>
              </w:numPr>
              <w:ind w:leftChars="0"/>
              <w:rPr>
                <w:sz w:val="20"/>
                <w:szCs w:val="20"/>
              </w:rPr>
            </w:pPr>
            <w:r w:rsidRPr="00562740">
              <w:rPr>
                <w:rFonts w:hint="eastAsia"/>
                <w:sz w:val="20"/>
                <w:szCs w:val="20"/>
              </w:rPr>
              <w:t>出店希望者向けに、今後の情報提供を受け取れる連絡窓口はありますか。</w:t>
            </w:r>
          </w:p>
          <w:p w14:paraId="653CE9DD" w14:textId="77777777" w:rsidR="006D6C0F" w:rsidRPr="00562740" w:rsidRDefault="006D6C0F" w:rsidP="00640A42">
            <w:pPr>
              <w:pStyle w:val="a9"/>
              <w:numPr>
                <w:ilvl w:val="0"/>
                <w:numId w:val="4"/>
              </w:numPr>
              <w:ind w:leftChars="0"/>
              <w:rPr>
                <w:sz w:val="20"/>
                <w:szCs w:val="20"/>
              </w:rPr>
            </w:pPr>
            <w:r w:rsidRPr="00562740">
              <w:rPr>
                <w:rFonts w:hint="eastAsia"/>
                <w:sz w:val="20"/>
                <w:szCs w:val="20"/>
              </w:rPr>
              <w:t>事業者向けの説明会や相談会の予定があれば教えてください。</w:t>
            </w:r>
          </w:p>
        </w:tc>
        <w:tc>
          <w:tcPr>
            <w:tcW w:w="9214" w:type="dxa"/>
          </w:tcPr>
          <w:p w14:paraId="6CE4A391" w14:textId="77777777" w:rsidR="006D6C0F" w:rsidRPr="00562740" w:rsidRDefault="006D6C0F" w:rsidP="00640A42">
            <w:pPr>
              <w:ind w:firstLineChars="100" w:firstLine="200"/>
              <w:rPr>
                <w:sz w:val="20"/>
                <w:szCs w:val="20"/>
              </w:rPr>
            </w:pPr>
            <w:r w:rsidRPr="00562740">
              <w:rPr>
                <w:rFonts w:hint="eastAsia"/>
                <w:sz w:val="20"/>
                <w:szCs w:val="20"/>
              </w:rPr>
              <w:t>大阪ＩＲでは、地元企業から、調達額の概ね３分の２程度、年間約</w:t>
            </w:r>
            <w:r w:rsidRPr="00562740">
              <w:rPr>
                <w:sz w:val="20"/>
                <w:szCs w:val="20"/>
              </w:rPr>
              <w:t>2,600億円もの積極的な調達を想定するとともに、継続的な調達を通じて、地元企業と持続的な取引関係や取引のためのプラットフォームを構築し、その発展に寄与することをめざすこととしてい</w:t>
            </w:r>
            <w:r w:rsidRPr="00562740">
              <w:rPr>
                <w:rFonts w:hint="eastAsia"/>
                <w:sz w:val="20"/>
                <w:szCs w:val="20"/>
              </w:rPr>
              <w:t>ます。</w:t>
            </w:r>
          </w:p>
          <w:p w14:paraId="7383EAA9" w14:textId="088D1335" w:rsidR="002F40C4" w:rsidRPr="00562740" w:rsidRDefault="006D6C0F" w:rsidP="002F40C4">
            <w:pPr>
              <w:ind w:firstLineChars="100" w:firstLine="200"/>
              <w:rPr>
                <w:sz w:val="20"/>
                <w:szCs w:val="20"/>
              </w:rPr>
            </w:pPr>
            <w:r w:rsidRPr="00562740">
              <w:rPr>
                <w:rFonts w:hint="eastAsia"/>
                <w:sz w:val="20"/>
                <w:szCs w:val="20"/>
              </w:rPr>
              <w:t>ＩＲは裾野の広い産業であり、宿泊施設から</w:t>
            </w:r>
            <w:r w:rsidR="002D0F3A" w:rsidRPr="00562740">
              <w:rPr>
                <w:rFonts w:hint="eastAsia"/>
                <w:sz w:val="20"/>
                <w:szCs w:val="20"/>
              </w:rPr>
              <w:t>エンターテイメント</w:t>
            </w:r>
            <w:r w:rsidRPr="00562740">
              <w:rPr>
                <w:rFonts w:hint="eastAsia"/>
                <w:sz w:val="20"/>
                <w:szCs w:val="20"/>
              </w:rPr>
              <w:t>施設まで多様な施設を併設することから、調達等の取引を行う事業者は多岐にわたります。様々な技術や特色、強みを持ち、大阪の経済を支えている中小規模の事業者とも取引を行っていけるよう、地域の金融機関との連携を通じて幅広い情報発信や支援を提供するなど、ＩＲ事業を核として、地域経済に裾野広く波及効果がもたらされる仕組みを構築していくこととしています。</w:t>
            </w:r>
          </w:p>
          <w:p w14:paraId="03DC1D9A" w14:textId="770454F3" w:rsidR="00491A3D" w:rsidRPr="00562740" w:rsidRDefault="002F40C4">
            <w:pPr>
              <w:ind w:firstLineChars="100" w:firstLine="200"/>
              <w:rPr>
                <w:sz w:val="20"/>
                <w:szCs w:val="20"/>
              </w:rPr>
            </w:pPr>
            <w:r w:rsidRPr="00562740">
              <w:rPr>
                <w:rFonts w:hint="eastAsia"/>
                <w:sz w:val="20"/>
                <w:szCs w:val="20"/>
              </w:rPr>
              <w:t>なお、具体的な内容については、</w:t>
            </w:r>
            <w:r w:rsidR="00FC012B" w:rsidRPr="00562740">
              <w:rPr>
                <w:rFonts w:hint="eastAsia"/>
                <w:sz w:val="20"/>
                <w:szCs w:val="20"/>
              </w:rPr>
              <w:t>ＩＲ</w:t>
            </w:r>
            <w:r w:rsidRPr="00562740">
              <w:rPr>
                <w:rFonts w:hint="eastAsia"/>
                <w:sz w:val="20"/>
                <w:szCs w:val="20"/>
              </w:rPr>
              <w:t>事業者において検討</w:t>
            </w:r>
            <w:r w:rsidR="00BE3221" w:rsidRPr="00562740">
              <w:rPr>
                <w:rFonts w:hint="eastAsia"/>
                <w:sz w:val="20"/>
                <w:szCs w:val="20"/>
              </w:rPr>
              <w:t>されるものです。</w:t>
            </w:r>
          </w:p>
        </w:tc>
      </w:tr>
      <w:tr w:rsidR="006D6C0F" w:rsidRPr="00562740" w14:paraId="085CC579" w14:textId="77777777" w:rsidTr="00640A42">
        <w:trPr>
          <w:trHeight w:val="359"/>
        </w:trPr>
        <w:tc>
          <w:tcPr>
            <w:tcW w:w="704" w:type="dxa"/>
          </w:tcPr>
          <w:p w14:paraId="64936CB7" w14:textId="2B439FD2" w:rsidR="006D6C0F" w:rsidRPr="00562740" w:rsidRDefault="002962D3" w:rsidP="00640A42">
            <w:pPr>
              <w:jc w:val="center"/>
              <w:rPr>
                <w:sz w:val="20"/>
                <w:szCs w:val="20"/>
              </w:rPr>
            </w:pPr>
            <w:r w:rsidRPr="00562740">
              <w:rPr>
                <w:rFonts w:hint="eastAsia"/>
                <w:sz w:val="20"/>
                <w:szCs w:val="20"/>
              </w:rPr>
              <w:t>５</w:t>
            </w:r>
          </w:p>
        </w:tc>
        <w:tc>
          <w:tcPr>
            <w:tcW w:w="5528" w:type="dxa"/>
          </w:tcPr>
          <w:p w14:paraId="06BE9F3F" w14:textId="77777777" w:rsidR="006D6C0F" w:rsidRPr="00562740" w:rsidRDefault="006D6C0F" w:rsidP="00640A42">
            <w:pPr>
              <w:ind w:firstLineChars="100" w:firstLine="200"/>
              <w:rPr>
                <w:sz w:val="20"/>
                <w:szCs w:val="20"/>
              </w:rPr>
            </w:pPr>
            <w:r w:rsidRPr="00562740">
              <w:rPr>
                <w:rFonts w:hint="eastAsia"/>
                <w:sz w:val="20"/>
                <w:szCs w:val="20"/>
              </w:rPr>
              <w:t>ＩＲ→カジノ→ギャンブル依存症増加という短絡的な思考に陥っている人ばかり。一度、カジノをリセットした場合の収支計画は全くなりたたないのか。教えてほしい。</w:t>
            </w:r>
          </w:p>
        </w:tc>
        <w:tc>
          <w:tcPr>
            <w:tcW w:w="9214" w:type="dxa"/>
          </w:tcPr>
          <w:p w14:paraId="59EFE38A" w14:textId="77777777" w:rsidR="006D6C0F" w:rsidRPr="00562740" w:rsidRDefault="006D6C0F" w:rsidP="00435468">
            <w:pPr>
              <w:ind w:firstLineChars="100" w:firstLine="200"/>
              <w:rPr>
                <w:sz w:val="20"/>
                <w:szCs w:val="20"/>
              </w:rPr>
            </w:pPr>
            <w:r w:rsidRPr="00562740">
              <w:rPr>
                <w:rFonts w:eastAsiaTheme="minorHAnsi" w:hint="eastAsia"/>
                <w:color w:val="000000"/>
                <w:sz w:val="20"/>
                <w:szCs w:val="20"/>
              </w:rPr>
              <w:t>ＩＲ整備法では、適切な国の監視及び管理の下で運営される健全なカジノ事業の収益を活用して、</w:t>
            </w:r>
            <w:r w:rsidRPr="00562740">
              <w:rPr>
                <w:rFonts w:eastAsiaTheme="minorHAnsi"/>
                <w:sz w:val="20"/>
                <w:szCs w:val="20"/>
              </w:rPr>
              <w:t>ＩＲ</w:t>
            </w:r>
            <w:r w:rsidRPr="00562740">
              <w:rPr>
                <w:rFonts w:eastAsiaTheme="minorHAnsi" w:hint="eastAsia"/>
                <w:color w:val="000000"/>
                <w:sz w:val="20"/>
                <w:szCs w:val="20"/>
              </w:rPr>
              <w:t>区域の整備を推進することにより、国際競争力の高い魅力ある滞在型観光を実現することとされています。</w:t>
            </w:r>
          </w:p>
          <w:p w14:paraId="62F9130D" w14:textId="695E475A" w:rsidR="00491A3D" w:rsidRPr="00562740" w:rsidRDefault="006D6C0F" w:rsidP="00AC0E5F">
            <w:pPr>
              <w:ind w:firstLineChars="100" w:firstLine="200"/>
              <w:rPr>
                <w:sz w:val="20"/>
                <w:szCs w:val="20"/>
              </w:rPr>
            </w:pPr>
            <w:r w:rsidRPr="00562740">
              <w:rPr>
                <w:rFonts w:hint="eastAsia"/>
                <w:sz w:val="20"/>
                <w:szCs w:val="20"/>
              </w:rPr>
              <w:t>大阪ＩＲでは、カジノ事業の収益等を活用し、</w:t>
            </w:r>
            <w:r w:rsidRPr="00562740">
              <w:rPr>
                <w:sz w:val="20"/>
                <w:szCs w:val="20"/>
              </w:rPr>
              <w:t>カジノ施設以外の中核施設やコンテンツ更新、開発への再投資等により、</w:t>
            </w:r>
            <w:r w:rsidRPr="00562740">
              <w:rPr>
                <w:rFonts w:hint="eastAsia"/>
                <w:sz w:val="20"/>
                <w:szCs w:val="20"/>
              </w:rPr>
              <w:t>長期的・継続的にＩＲ事業内容の向上とＩＲ区域の魅力向上に取り組</w:t>
            </w:r>
            <w:r w:rsidRPr="00562740">
              <w:rPr>
                <w:sz w:val="20"/>
                <w:szCs w:val="20"/>
              </w:rPr>
              <w:t>んでい</w:t>
            </w:r>
            <w:r w:rsidRPr="00562740">
              <w:rPr>
                <w:rFonts w:hint="eastAsia"/>
                <w:sz w:val="20"/>
                <w:szCs w:val="20"/>
              </w:rPr>
              <w:t>きます</w:t>
            </w:r>
            <w:r w:rsidRPr="00562740">
              <w:rPr>
                <w:sz w:val="20"/>
                <w:szCs w:val="20"/>
              </w:rPr>
              <w:t>。</w:t>
            </w:r>
          </w:p>
        </w:tc>
      </w:tr>
      <w:tr w:rsidR="00F66893" w:rsidRPr="00562740" w14:paraId="1A076BD0" w14:textId="77777777" w:rsidTr="00640A42">
        <w:trPr>
          <w:trHeight w:val="359"/>
        </w:trPr>
        <w:tc>
          <w:tcPr>
            <w:tcW w:w="704" w:type="dxa"/>
          </w:tcPr>
          <w:p w14:paraId="38470812" w14:textId="6A7DC0F4" w:rsidR="00F66893" w:rsidRPr="00562740" w:rsidRDefault="002962D3" w:rsidP="00640A42">
            <w:pPr>
              <w:jc w:val="center"/>
              <w:rPr>
                <w:sz w:val="20"/>
                <w:szCs w:val="20"/>
              </w:rPr>
            </w:pPr>
            <w:r w:rsidRPr="00562740">
              <w:rPr>
                <w:rFonts w:hint="eastAsia"/>
                <w:sz w:val="20"/>
                <w:szCs w:val="20"/>
              </w:rPr>
              <w:t>６</w:t>
            </w:r>
          </w:p>
        </w:tc>
        <w:tc>
          <w:tcPr>
            <w:tcW w:w="5528" w:type="dxa"/>
          </w:tcPr>
          <w:p w14:paraId="180D6AF1" w14:textId="77777777" w:rsidR="00F66893" w:rsidRPr="00562740" w:rsidRDefault="00F66893" w:rsidP="00640A42">
            <w:pPr>
              <w:ind w:firstLineChars="100" w:firstLine="200"/>
              <w:rPr>
                <w:sz w:val="20"/>
                <w:szCs w:val="20"/>
              </w:rPr>
            </w:pPr>
            <w:r w:rsidRPr="00562740">
              <w:rPr>
                <w:rFonts w:hint="eastAsia"/>
                <w:sz w:val="20"/>
                <w:szCs w:val="20"/>
              </w:rPr>
              <w:t>人口減で人不足（労働力不足）がすすむと思われるが、ＩＲカジノのような労働集約型産業は既存産業の人手不足に拍車をかけるのではないか。（経済的にはマイナスになる）</w:t>
            </w:r>
          </w:p>
        </w:tc>
        <w:tc>
          <w:tcPr>
            <w:tcW w:w="9214" w:type="dxa"/>
          </w:tcPr>
          <w:p w14:paraId="55CC4F34" w14:textId="60E44653" w:rsidR="00435468" w:rsidRPr="00562740" w:rsidRDefault="00F66893" w:rsidP="00AC0E5F">
            <w:pPr>
              <w:ind w:firstLineChars="100" w:firstLine="200"/>
              <w:rPr>
                <w:sz w:val="20"/>
                <w:szCs w:val="20"/>
              </w:rPr>
            </w:pPr>
            <w:r w:rsidRPr="00562740">
              <w:rPr>
                <w:rFonts w:hint="eastAsia"/>
                <w:sz w:val="20"/>
                <w:szCs w:val="20"/>
              </w:rPr>
              <w:t>ＩＲ</w:t>
            </w:r>
            <w:r w:rsidRPr="00562740">
              <w:rPr>
                <w:sz w:val="20"/>
                <w:szCs w:val="20"/>
              </w:rPr>
              <w:t>事業者においては、女性、シニア、障がい者等を含む多様な人材を受け入れ、活躍できる労働環境や人事制度を構築し、柔軟な働き方支援、子育て支援等、継続的な職業訓練等や働きやすい労働環境整備を通じて、就労層の拡大や就業率の向上をめざし、質の高い雇用機会を提供することとしています</w:t>
            </w:r>
            <w:r w:rsidRPr="00562740">
              <w:rPr>
                <w:rFonts w:hint="eastAsia"/>
                <w:sz w:val="20"/>
                <w:szCs w:val="20"/>
              </w:rPr>
              <w:t>。</w:t>
            </w:r>
          </w:p>
        </w:tc>
      </w:tr>
    </w:tbl>
    <w:p w14:paraId="591AC619" w14:textId="77777777" w:rsidR="007056B1" w:rsidRPr="00562740" w:rsidRDefault="007056B1">
      <w:r w:rsidRPr="00562740">
        <w:br w:type="page"/>
      </w:r>
    </w:p>
    <w:tbl>
      <w:tblPr>
        <w:tblStyle w:val="a3"/>
        <w:tblW w:w="15446" w:type="dxa"/>
        <w:tblLook w:val="04A0" w:firstRow="1" w:lastRow="0" w:firstColumn="1" w:lastColumn="0" w:noHBand="0" w:noVBand="1"/>
      </w:tblPr>
      <w:tblGrid>
        <w:gridCol w:w="704"/>
        <w:gridCol w:w="5528"/>
        <w:gridCol w:w="9214"/>
      </w:tblGrid>
      <w:tr w:rsidR="006D6C0F" w:rsidRPr="00562740" w14:paraId="71AE617E" w14:textId="77777777" w:rsidTr="00640A42">
        <w:trPr>
          <w:trHeight w:val="359"/>
        </w:trPr>
        <w:tc>
          <w:tcPr>
            <w:tcW w:w="704" w:type="dxa"/>
          </w:tcPr>
          <w:p w14:paraId="0821D1D5" w14:textId="4B28037E" w:rsidR="006D6C0F" w:rsidRPr="00562740" w:rsidRDefault="002962D3" w:rsidP="00640A42">
            <w:pPr>
              <w:jc w:val="center"/>
              <w:rPr>
                <w:sz w:val="20"/>
                <w:szCs w:val="20"/>
              </w:rPr>
            </w:pPr>
            <w:r w:rsidRPr="00562740">
              <w:rPr>
                <w:rFonts w:hint="eastAsia"/>
                <w:sz w:val="20"/>
                <w:szCs w:val="20"/>
              </w:rPr>
              <w:lastRenderedPageBreak/>
              <w:t>７</w:t>
            </w:r>
          </w:p>
        </w:tc>
        <w:tc>
          <w:tcPr>
            <w:tcW w:w="5528" w:type="dxa"/>
          </w:tcPr>
          <w:p w14:paraId="147B86EA" w14:textId="77777777" w:rsidR="006D6C0F" w:rsidRPr="00562740" w:rsidRDefault="006D6C0F" w:rsidP="00640A42">
            <w:pPr>
              <w:ind w:firstLineChars="100" w:firstLine="200"/>
              <w:rPr>
                <w:sz w:val="20"/>
                <w:szCs w:val="20"/>
              </w:rPr>
            </w:pPr>
            <w:r w:rsidRPr="00562740">
              <w:rPr>
                <w:rFonts w:hint="eastAsia"/>
                <w:sz w:val="20"/>
                <w:szCs w:val="20"/>
              </w:rPr>
              <w:t>「モナコ」のカジノは、自国民は入場不可で、「観光客」のみ「とばく」と聞きました。理由は何故なのですか？</w:t>
            </w:r>
          </w:p>
        </w:tc>
        <w:tc>
          <w:tcPr>
            <w:tcW w:w="9214" w:type="dxa"/>
          </w:tcPr>
          <w:p w14:paraId="61F36AC4" w14:textId="33829240" w:rsidR="006D6C0F" w:rsidRPr="00562740" w:rsidRDefault="006D6C0F" w:rsidP="00640A42">
            <w:pPr>
              <w:ind w:firstLineChars="100" w:firstLine="200"/>
              <w:rPr>
                <w:sz w:val="20"/>
                <w:szCs w:val="20"/>
              </w:rPr>
            </w:pPr>
            <w:r w:rsidRPr="00562740">
              <w:rPr>
                <w:rFonts w:hint="eastAsia"/>
                <w:sz w:val="20"/>
                <w:szCs w:val="20"/>
              </w:rPr>
              <w:t>日本におけるカジノ施設への入場については、ＩＲ整備法において、日本人等に対する入場料の賦課、本人及び家族等の申告に基づく利用制限措置などの対策のほか、日本人等に対する一律の入場回数制限や、マイナンバーカードによる厳格な入場管理を実施することとされています。</w:t>
            </w:r>
          </w:p>
          <w:p w14:paraId="5253BE0A" w14:textId="306AB6F2" w:rsidR="00491A3D" w:rsidRPr="00562740" w:rsidRDefault="006D6C0F" w:rsidP="00AC0E5F">
            <w:pPr>
              <w:ind w:firstLineChars="100" w:firstLine="200"/>
              <w:rPr>
                <w:sz w:val="20"/>
                <w:szCs w:val="20"/>
              </w:rPr>
            </w:pPr>
            <w:r w:rsidRPr="00562740">
              <w:rPr>
                <w:rFonts w:hint="eastAsia"/>
                <w:sz w:val="20"/>
                <w:szCs w:val="20"/>
              </w:rPr>
              <w:t>大阪ＩＲにおいては、ＩＲ事業者がこういった世界最高水準のカジノ規制を遵守したうえで、生体認証による、より厳格な入場管理を徹底するほか、社内に専門部署を設置した上で、顧客への啓発・従業員教育を含む包括的プログラムを導入し、ＩＲ区域内における</w:t>
            </w:r>
            <w:r w:rsidRPr="00562740">
              <w:rPr>
                <w:sz w:val="20"/>
                <w:szCs w:val="20"/>
              </w:rPr>
              <w:t>24時間・365日利用可能な相談体制の構築、訓練されたスタッフによる視認とICT技術を活用した問題あるギャンブル行動の早期発見、本人申告による賭け金額や滞在時間の上限設定を可能にするプログラムの導入などに取り組むこととされています。</w:t>
            </w:r>
          </w:p>
        </w:tc>
      </w:tr>
      <w:tr w:rsidR="00F16258" w:rsidRPr="00562740" w14:paraId="32503D88" w14:textId="77777777" w:rsidTr="00D32A04">
        <w:trPr>
          <w:trHeight w:val="359"/>
        </w:trPr>
        <w:tc>
          <w:tcPr>
            <w:tcW w:w="704" w:type="dxa"/>
            <w:tcBorders>
              <w:top w:val="single" w:sz="4" w:space="0" w:color="auto"/>
              <w:left w:val="single" w:sz="4" w:space="0" w:color="auto"/>
            </w:tcBorders>
          </w:tcPr>
          <w:p w14:paraId="1ADC70C1" w14:textId="77777777" w:rsidR="00F16258" w:rsidRPr="00562740" w:rsidRDefault="00F16258" w:rsidP="00640A42">
            <w:pPr>
              <w:jc w:val="center"/>
              <w:rPr>
                <w:sz w:val="20"/>
                <w:szCs w:val="20"/>
              </w:rPr>
            </w:pPr>
            <w:r w:rsidRPr="00562740">
              <w:rPr>
                <w:rFonts w:hint="eastAsia"/>
                <w:sz w:val="20"/>
                <w:szCs w:val="20"/>
              </w:rPr>
              <w:t>８</w:t>
            </w:r>
          </w:p>
        </w:tc>
        <w:tc>
          <w:tcPr>
            <w:tcW w:w="5528" w:type="dxa"/>
            <w:tcBorders>
              <w:top w:val="single" w:sz="4" w:space="0" w:color="auto"/>
              <w:left w:val="single" w:sz="4" w:space="0" w:color="auto"/>
            </w:tcBorders>
          </w:tcPr>
          <w:p w14:paraId="22E436E2" w14:textId="7290F41A" w:rsidR="00F16258" w:rsidRPr="00562740" w:rsidRDefault="00F16258" w:rsidP="00640A42">
            <w:pPr>
              <w:ind w:firstLineChars="100" w:firstLine="200"/>
              <w:rPr>
                <w:sz w:val="20"/>
                <w:szCs w:val="20"/>
              </w:rPr>
            </w:pPr>
            <w:r w:rsidRPr="00562740">
              <w:rPr>
                <w:rFonts w:hint="eastAsia"/>
                <w:sz w:val="20"/>
                <w:szCs w:val="20"/>
              </w:rPr>
              <w:t>「経済波及効果」の追求によって、依存症に苦しむ人が増えてもいいのか。行政はどちらの味方をするのですか。依存症をふやしても経済発展をめざすのか。</w:t>
            </w:r>
          </w:p>
        </w:tc>
        <w:tc>
          <w:tcPr>
            <w:tcW w:w="9214" w:type="dxa"/>
            <w:vMerge w:val="restart"/>
            <w:tcBorders>
              <w:top w:val="single" w:sz="4" w:space="0" w:color="auto"/>
            </w:tcBorders>
          </w:tcPr>
          <w:p w14:paraId="27D73E79" w14:textId="7C3BEF86" w:rsidR="00FC012B" w:rsidRPr="00562740" w:rsidRDefault="00F16258" w:rsidP="00640A42">
            <w:pPr>
              <w:ind w:firstLineChars="100" w:firstLine="200"/>
              <w:rPr>
                <w:sz w:val="20"/>
                <w:szCs w:val="20"/>
              </w:rPr>
            </w:pPr>
            <w:r w:rsidRPr="00562740">
              <w:rPr>
                <w:rFonts w:hint="eastAsia"/>
                <w:sz w:val="20"/>
                <w:szCs w:val="20"/>
              </w:rPr>
              <w:t>国などの資料によると、</w:t>
            </w:r>
            <w:r w:rsidRPr="00562740">
              <w:rPr>
                <w:sz w:val="20"/>
                <w:szCs w:val="20"/>
              </w:rPr>
              <w:t>2010年に、２つの大規模なＩＲが設置されたシンガポールでは、</w:t>
            </w:r>
            <w:r w:rsidRPr="00562740">
              <w:rPr>
                <w:rFonts w:hint="eastAsia"/>
                <w:sz w:val="20"/>
                <w:szCs w:val="20"/>
              </w:rPr>
              <w:t>カジノの導入をきっかけに、国を挙げて依存症対策に取り組んだことで、カジノの設置前後で、ギャンブル等依存が疑われる者の割合が減っているという実績</w:t>
            </w:r>
            <w:r w:rsidR="00FC012B" w:rsidRPr="00562740">
              <w:rPr>
                <w:rFonts w:hint="eastAsia"/>
                <w:sz w:val="20"/>
                <w:szCs w:val="20"/>
              </w:rPr>
              <w:t>があります。</w:t>
            </w:r>
          </w:p>
          <w:p w14:paraId="281A2FF4" w14:textId="7E69470A" w:rsidR="00F16258" w:rsidRPr="00562740" w:rsidRDefault="00F16258" w:rsidP="00640A42">
            <w:pPr>
              <w:ind w:firstLineChars="100" w:firstLine="200"/>
              <w:rPr>
                <w:sz w:val="20"/>
                <w:szCs w:val="20"/>
              </w:rPr>
            </w:pPr>
            <w:r w:rsidRPr="00562740">
              <w:rPr>
                <w:rFonts w:hint="eastAsia"/>
                <w:sz w:val="20"/>
                <w:szCs w:val="20"/>
              </w:rPr>
              <w:t>また外国人旅行者数が増加しているものの、開業前後において、人口</w:t>
            </w:r>
            <w:r w:rsidRPr="00562740">
              <w:rPr>
                <w:sz w:val="20"/>
                <w:szCs w:val="20"/>
              </w:rPr>
              <w:t>10万人当たりの犯罪認知率に大きな変化は見られず、また、犯罪類型に着目しても、体感治安の悪化につながるような、殺人、</w:t>
            </w:r>
            <w:r w:rsidRPr="00562740">
              <w:rPr>
                <w:rFonts w:hint="eastAsia"/>
                <w:sz w:val="20"/>
                <w:szCs w:val="20"/>
              </w:rPr>
              <w:t>強姦、強盗、住居侵入、窃盗などの犯罪について、大きな変化は見られません。</w:t>
            </w:r>
          </w:p>
          <w:p w14:paraId="676411A2" w14:textId="697D3DFA" w:rsidR="006E5E74" w:rsidRPr="00562740" w:rsidRDefault="00F16258" w:rsidP="000637AE">
            <w:pPr>
              <w:ind w:firstLineChars="100" w:firstLine="200"/>
              <w:rPr>
                <w:sz w:val="20"/>
                <w:szCs w:val="20"/>
              </w:rPr>
            </w:pPr>
            <w:r w:rsidRPr="00562740">
              <w:rPr>
                <w:rFonts w:hint="eastAsia"/>
                <w:sz w:val="20"/>
                <w:szCs w:val="20"/>
              </w:rPr>
              <w:t>大阪府・市としては、</w:t>
            </w:r>
            <w:r w:rsidR="00B572F2" w:rsidRPr="00562740">
              <w:rPr>
                <w:rFonts w:hint="eastAsia"/>
                <w:sz w:val="20"/>
                <w:szCs w:val="20"/>
              </w:rPr>
              <w:t>ギャンブル等依存症対策について、</w:t>
            </w:r>
            <w:r w:rsidRPr="00562740">
              <w:rPr>
                <w:rFonts w:hint="eastAsia"/>
                <w:sz w:val="20"/>
                <w:szCs w:val="20"/>
              </w:rPr>
              <w:t>世界の先進事例に加え、大阪独自の対策をミックスした総合的かつシームレスな取組みを区域整備計画に取りまとめ</w:t>
            </w:r>
            <w:r w:rsidR="00435468" w:rsidRPr="00562740">
              <w:rPr>
                <w:rFonts w:hint="eastAsia"/>
                <w:sz w:val="20"/>
                <w:szCs w:val="20"/>
              </w:rPr>
              <w:t>まし</w:t>
            </w:r>
            <w:r w:rsidRPr="00562740">
              <w:rPr>
                <w:rFonts w:hint="eastAsia"/>
                <w:sz w:val="20"/>
                <w:szCs w:val="20"/>
              </w:rPr>
              <w:t>た。また、区域認定後は、ギャンブル等依存が疑われる者等の割合の調査を毎年行い、調査結果を一つの指標としながら、既存のギャンブル</w:t>
            </w:r>
            <w:r w:rsidR="00FC4F79" w:rsidRPr="00562740">
              <w:rPr>
                <w:rFonts w:hint="eastAsia"/>
                <w:sz w:val="20"/>
                <w:szCs w:val="20"/>
              </w:rPr>
              <w:t>等</w:t>
            </w:r>
            <w:r w:rsidRPr="00562740">
              <w:rPr>
                <w:rFonts w:hint="eastAsia"/>
                <w:sz w:val="20"/>
                <w:szCs w:val="20"/>
              </w:rPr>
              <w:t>に起因するものも含めて、依存症対策に正面から取り組み、その数値の低減をめざして、万全の対策を講じていくとともに、犯罪の発生対策についても、夢洲内に警察署等の警察施設を設置し、大阪府警察の警察職員を増員することにより、警察力の強化を図った上で、ＩＲ事業者や関係機関等との緊密な連携協力のもと、治安・地域風俗環境対策に取り組んでいきます。</w:t>
            </w:r>
            <w:r w:rsidR="00435468" w:rsidRPr="00562740">
              <w:rPr>
                <w:rFonts w:hint="eastAsia"/>
                <w:sz w:val="20"/>
                <w:szCs w:val="20"/>
              </w:rPr>
              <w:t xml:space="preserve">　</w:t>
            </w:r>
          </w:p>
          <w:p w14:paraId="3C399AA8" w14:textId="77777777" w:rsidR="000637AE" w:rsidRPr="00562740" w:rsidRDefault="000637AE" w:rsidP="000637AE">
            <w:pPr>
              <w:ind w:firstLineChars="100" w:firstLine="200"/>
              <w:rPr>
                <w:sz w:val="20"/>
                <w:szCs w:val="20"/>
              </w:rPr>
            </w:pPr>
          </w:p>
          <w:p w14:paraId="0FAE71CB" w14:textId="05056D2A" w:rsidR="000637AE" w:rsidRPr="00562740" w:rsidRDefault="000637AE">
            <w:pPr>
              <w:ind w:firstLineChars="100" w:firstLine="200"/>
              <w:rPr>
                <w:sz w:val="20"/>
                <w:szCs w:val="20"/>
              </w:rPr>
            </w:pPr>
          </w:p>
        </w:tc>
      </w:tr>
      <w:tr w:rsidR="006D6C0F" w:rsidRPr="00562740" w14:paraId="6C55AE78" w14:textId="77777777" w:rsidTr="00640A42">
        <w:trPr>
          <w:trHeight w:val="359"/>
        </w:trPr>
        <w:tc>
          <w:tcPr>
            <w:tcW w:w="704" w:type="dxa"/>
          </w:tcPr>
          <w:p w14:paraId="4B555A81" w14:textId="4DD32884" w:rsidR="006D6C0F" w:rsidRPr="00562740" w:rsidRDefault="002962D3" w:rsidP="00640A42">
            <w:pPr>
              <w:jc w:val="center"/>
              <w:rPr>
                <w:sz w:val="20"/>
                <w:szCs w:val="20"/>
              </w:rPr>
            </w:pPr>
            <w:r w:rsidRPr="00562740">
              <w:rPr>
                <w:rFonts w:hint="eastAsia"/>
                <w:sz w:val="20"/>
                <w:szCs w:val="20"/>
              </w:rPr>
              <w:t>９</w:t>
            </w:r>
          </w:p>
        </w:tc>
        <w:tc>
          <w:tcPr>
            <w:tcW w:w="5528" w:type="dxa"/>
          </w:tcPr>
          <w:p w14:paraId="247DE75F" w14:textId="27CA8561" w:rsidR="006D6C0F" w:rsidRPr="00562740" w:rsidRDefault="006D6C0F" w:rsidP="00640A42">
            <w:pPr>
              <w:ind w:firstLineChars="100" w:firstLine="200"/>
              <w:rPr>
                <w:sz w:val="20"/>
                <w:szCs w:val="20"/>
              </w:rPr>
            </w:pPr>
            <w:r w:rsidRPr="00562740">
              <w:rPr>
                <w:rFonts w:hint="eastAsia"/>
                <w:sz w:val="20"/>
                <w:szCs w:val="20"/>
              </w:rPr>
              <w:t>ギャンブル依存症のこと</w:t>
            </w:r>
            <w:r w:rsidR="00C86AC9" w:rsidRPr="00562740">
              <w:rPr>
                <w:rFonts w:hint="eastAsia"/>
                <w:sz w:val="20"/>
                <w:szCs w:val="20"/>
              </w:rPr>
              <w:t>や</w:t>
            </w:r>
            <w:r w:rsidRPr="00562740">
              <w:rPr>
                <w:rFonts w:hint="eastAsia"/>
                <w:sz w:val="20"/>
                <w:szCs w:val="20"/>
              </w:rPr>
              <w:t>治安の悪化、ＩＲで起こりうる問題についてこれだけの人、お金をかけてするだけの価値のあるものなのでしょうか？</w:t>
            </w:r>
            <w:r w:rsidR="00C86AC9" w:rsidRPr="00562740" w:rsidDel="00C86AC9">
              <w:rPr>
                <w:rFonts w:hint="eastAsia"/>
                <w:sz w:val="20"/>
                <w:szCs w:val="20"/>
              </w:rPr>
              <w:t xml:space="preserve"> </w:t>
            </w:r>
          </w:p>
        </w:tc>
        <w:tc>
          <w:tcPr>
            <w:tcW w:w="9214" w:type="dxa"/>
            <w:vMerge/>
          </w:tcPr>
          <w:p w14:paraId="0D21FF8E" w14:textId="77777777" w:rsidR="006D6C0F" w:rsidRPr="00562740" w:rsidRDefault="006D6C0F" w:rsidP="00640A42">
            <w:pPr>
              <w:ind w:firstLineChars="100" w:firstLine="200"/>
              <w:rPr>
                <w:sz w:val="20"/>
                <w:szCs w:val="20"/>
              </w:rPr>
            </w:pPr>
          </w:p>
        </w:tc>
      </w:tr>
      <w:tr w:rsidR="0034417C" w:rsidRPr="00562740" w14:paraId="00526297" w14:textId="77777777" w:rsidTr="0034417C">
        <w:trPr>
          <w:trHeight w:val="849"/>
        </w:trPr>
        <w:tc>
          <w:tcPr>
            <w:tcW w:w="704" w:type="dxa"/>
          </w:tcPr>
          <w:p w14:paraId="194971A5" w14:textId="3C732F7E" w:rsidR="0034417C" w:rsidRPr="00562740" w:rsidRDefault="002962D3" w:rsidP="000411BF">
            <w:pPr>
              <w:jc w:val="center"/>
              <w:rPr>
                <w:sz w:val="20"/>
                <w:szCs w:val="20"/>
              </w:rPr>
            </w:pPr>
            <w:r w:rsidRPr="00562740">
              <w:rPr>
                <w:rFonts w:hint="eastAsia"/>
                <w:sz w:val="20"/>
                <w:szCs w:val="20"/>
              </w:rPr>
              <w:lastRenderedPageBreak/>
              <w:t>1</w:t>
            </w:r>
            <w:r w:rsidRPr="00562740">
              <w:rPr>
                <w:sz w:val="20"/>
                <w:szCs w:val="20"/>
              </w:rPr>
              <w:t>0</w:t>
            </w:r>
          </w:p>
          <w:p w14:paraId="2A68C15B" w14:textId="5986892D" w:rsidR="00012D51" w:rsidRPr="00562740" w:rsidRDefault="00012D51" w:rsidP="000411BF">
            <w:pPr>
              <w:jc w:val="center"/>
              <w:rPr>
                <w:sz w:val="20"/>
                <w:szCs w:val="20"/>
              </w:rPr>
            </w:pPr>
          </w:p>
        </w:tc>
        <w:tc>
          <w:tcPr>
            <w:tcW w:w="5528" w:type="dxa"/>
          </w:tcPr>
          <w:p w14:paraId="0FCE7E67" w14:textId="2260F49F" w:rsidR="0034417C" w:rsidRPr="00562740" w:rsidRDefault="00080C8D" w:rsidP="00C66713">
            <w:pPr>
              <w:ind w:firstLineChars="100" w:firstLine="200"/>
              <w:rPr>
                <w:sz w:val="20"/>
                <w:szCs w:val="20"/>
              </w:rPr>
            </w:pPr>
            <w:r w:rsidRPr="00562740">
              <w:rPr>
                <w:rFonts w:hint="eastAsia"/>
                <w:sz w:val="20"/>
                <w:szCs w:val="20"/>
              </w:rPr>
              <w:t>なしくずし的に実施されている、</w:t>
            </w:r>
            <w:r w:rsidR="0034417C" w:rsidRPr="00562740">
              <w:rPr>
                <w:rFonts w:hint="eastAsia"/>
                <w:sz w:val="20"/>
                <w:szCs w:val="20"/>
              </w:rPr>
              <w:t>公営ギャンブルのオンライン化と競合するためには、オンラインギャンブルの合法化が必然となってくるという矛盾に対してどう考えるのか？</w:t>
            </w:r>
          </w:p>
        </w:tc>
        <w:tc>
          <w:tcPr>
            <w:tcW w:w="9214" w:type="dxa"/>
          </w:tcPr>
          <w:p w14:paraId="43CB0C59" w14:textId="416BB19A" w:rsidR="00BB00AC" w:rsidRPr="00562740" w:rsidRDefault="00B572F2" w:rsidP="00BB00AC">
            <w:pPr>
              <w:ind w:firstLineChars="100" w:firstLine="200"/>
              <w:rPr>
                <w:sz w:val="20"/>
                <w:szCs w:val="20"/>
              </w:rPr>
            </w:pPr>
            <w:r w:rsidRPr="00562740">
              <w:rPr>
                <w:rFonts w:hint="eastAsia"/>
                <w:sz w:val="20"/>
                <w:szCs w:val="20"/>
              </w:rPr>
              <w:t>オンラインカジノ</w:t>
            </w:r>
            <w:r w:rsidR="00B26DFE" w:rsidRPr="00562740">
              <w:rPr>
                <w:rFonts w:hint="eastAsia"/>
                <w:sz w:val="20"/>
                <w:szCs w:val="20"/>
              </w:rPr>
              <w:t>については、</w:t>
            </w:r>
            <w:r w:rsidRPr="00562740">
              <w:rPr>
                <w:rFonts w:hint="eastAsia"/>
                <w:sz w:val="20"/>
                <w:szCs w:val="20"/>
              </w:rPr>
              <w:t>国</w:t>
            </w:r>
            <w:r w:rsidR="00BB00AC" w:rsidRPr="00562740">
              <w:rPr>
                <w:rFonts w:hint="eastAsia"/>
                <w:sz w:val="20"/>
                <w:szCs w:val="20"/>
              </w:rPr>
              <w:t>等</w:t>
            </w:r>
            <w:r w:rsidRPr="00562740">
              <w:rPr>
                <w:rFonts w:hint="eastAsia"/>
                <w:sz w:val="20"/>
                <w:szCs w:val="20"/>
              </w:rPr>
              <w:t>において</w:t>
            </w:r>
            <w:r w:rsidR="00BB00AC" w:rsidRPr="00562740">
              <w:rPr>
                <w:rFonts w:hint="eastAsia"/>
                <w:sz w:val="20"/>
                <w:szCs w:val="20"/>
              </w:rPr>
              <w:t>適正に対応されるものと認識しており、</w:t>
            </w:r>
            <w:r w:rsidR="00A87B57" w:rsidRPr="00562740">
              <w:rPr>
                <w:rFonts w:hint="eastAsia"/>
                <w:sz w:val="20"/>
                <w:szCs w:val="20"/>
              </w:rPr>
              <w:t>令和７年</w:t>
            </w:r>
            <w:r w:rsidR="00A87B57" w:rsidRPr="00562740">
              <w:rPr>
                <w:sz w:val="20"/>
                <w:szCs w:val="20"/>
              </w:rPr>
              <w:t>2月17日の記者会見及び、令和７年2月20日の衆議院予算委員会</w:t>
            </w:r>
            <w:r w:rsidR="00BB00AC" w:rsidRPr="00562740">
              <w:rPr>
                <w:rFonts w:hint="eastAsia"/>
                <w:sz w:val="20"/>
                <w:szCs w:val="20"/>
              </w:rPr>
              <w:t>で</w:t>
            </w:r>
            <w:r w:rsidR="00A87B57" w:rsidRPr="00562740">
              <w:rPr>
                <w:sz w:val="20"/>
                <w:szCs w:val="20"/>
              </w:rPr>
              <w:t>、林芳正官房長官</w:t>
            </w:r>
            <w:r w:rsidR="00BB00AC" w:rsidRPr="00562740">
              <w:rPr>
                <w:rFonts w:hint="eastAsia"/>
                <w:sz w:val="20"/>
                <w:szCs w:val="20"/>
              </w:rPr>
              <w:t>によって</w:t>
            </w:r>
            <w:r w:rsidR="00A87B57" w:rsidRPr="00562740">
              <w:rPr>
                <w:sz w:val="20"/>
                <w:szCs w:val="20"/>
              </w:rPr>
              <w:t>、「オンラインカジノについては、</w:t>
            </w:r>
            <w:r w:rsidR="00A87B57" w:rsidRPr="00562740">
              <w:rPr>
                <w:rFonts w:hint="eastAsia"/>
                <w:sz w:val="20"/>
                <w:szCs w:val="20"/>
              </w:rPr>
              <w:t>海外で適法に運営されていても、日本国内から利用し賭博をするのは犯罪である」と明言され</w:t>
            </w:r>
            <w:r w:rsidR="000D5A23" w:rsidRPr="00562740">
              <w:rPr>
                <w:rFonts w:hint="eastAsia"/>
                <w:sz w:val="20"/>
                <w:szCs w:val="20"/>
              </w:rPr>
              <w:t>てい</w:t>
            </w:r>
            <w:r w:rsidR="00A87B57" w:rsidRPr="00562740">
              <w:rPr>
                <w:rFonts w:hint="eastAsia"/>
                <w:sz w:val="20"/>
                <w:szCs w:val="20"/>
              </w:rPr>
              <w:t>るとともに、今後の対策については「警察の取り締まりを徹底し、関係省庁が連携して違法性が広く周知されるよう広報啓発活動を推進したい」と発言され</w:t>
            </w:r>
            <w:r w:rsidR="00BB00AC" w:rsidRPr="00562740">
              <w:rPr>
                <w:rFonts w:hint="eastAsia"/>
                <w:sz w:val="20"/>
                <w:szCs w:val="20"/>
              </w:rPr>
              <w:t>ています。</w:t>
            </w:r>
          </w:p>
          <w:p w14:paraId="7FD3EDB0" w14:textId="26AB5A90" w:rsidR="00435468" w:rsidRPr="00562740" w:rsidRDefault="00BB00AC" w:rsidP="000614C5">
            <w:pPr>
              <w:ind w:firstLineChars="100" w:firstLine="200"/>
              <w:rPr>
                <w:sz w:val="20"/>
                <w:szCs w:val="20"/>
              </w:rPr>
            </w:pPr>
            <w:r w:rsidRPr="00562740">
              <w:rPr>
                <w:rFonts w:hint="eastAsia"/>
                <w:sz w:val="20"/>
                <w:szCs w:val="20"/>
              </w:rPr>
              <w:t>また、</w:t>
            </w:r>
            <w:r w:rsidR="00A87B57" w:rsidRPr="00562740">
              <w:rPr>
                <w:rFonts w:hint="eastAsia"/>
                <w:sz w:val="20"/>
                <w:szCs w:val="20"/>
              </w:rPr>
              <w:t>違法なオンラインカジノの規制強化を定めた改正ギャンブル等依存症対策基本法が</w:t>
            </w:r>
            <w:r w:rsidRPr="00562740">
              <w:rPr>
                <w:rFonts w:hint="eastAsia"/>
                <w:sz w:val="20"/>
                <w:szCs w:val="20"/>
              </w:rPr>
              <w:t>、</w:t>
            </w:r>
            <w:r w:rsidR="00A87B57" w:rsidRPr="00562740">
              <w:rPr>
                <w:rFonts w:hint="eastAsia"/>
                <w:sz w:val="20"/>
                <w:szCs w:val="20"/>
              </w:rPr>
              <w:t>令和7年6月18日に成立</w:t>
            </w:r>
            <w:r w:rsidRPr="00562740">
              <w:rPr>
                <w:rFonts w:hint="eastAsia"/>
                <w:sz w:val="20"/>
                <w:szCs w:val="20"/>
              </w:rPr>
              <w:t>したところです。</w:t>
            </w:r>
          </w:p>
        </w:tc>
      </w:tr>
      <w:tr w:rsidR="00F66893" w:rsidRPr="00562740" w14:paraId="057F2A41" w14:textId="77777777" w:rsidTr="00640A42">
        <w:trPr>
          <w:trHeight w:val="359"/>
        </w:trPr>
        <w:tc>
          <w:tcPr>
            <w:tcW w:w="704" w:type="dxa"/>
          </w:tcPr>
          <w:p w14:paraId="6E98B78D" w14:textId="77777777" w:rsidR="00F66893" w:rsidRPr="00562740" w:rsidRDefault="002962D3" w:rsidP="00640A42">
            <w:pPr>
              <w:jc w:val="center"/>
              <w:rPr>
                <w:sz w:val="20"/>
                <w:szCs w:val="20"/>
              </w:rPr>
            </w:pPr>
            <w:r w:rsidRPr="00562740">
              <w:rPr>
                <w:rFonts w:hint="eastAsia"/>
                <w:sz w:val="20"/>
                <w:szCs w:val="20"/>
              </w:rPr>
              <w:t>1</w:t>
            </w:r>
            <w:r w:rsidRPr="00562740">
              <w:rPr>
                <w:sz w:val="20"/>
                <w:szCs w:val="20"/>
              </w:rPr>
              <w:t>1</w:t>
            </w:r>
          </w:p>
          <w:p w14:paraId="3455EEAC" w14:textId="172E845E" w:rsidR="002962D3" w:rsidRPr="00562740" w:rsidRDefault="002962D3" w:rsidP="00640A42">
            <w:pPr>
              <w:jc w:val="center"/>
              <w:rPr>
                <w:sz w:val="20"/>
                <w:szCs w:val="20"/>
              </w:rPr>
            </w:pPr>
          </w:p>
        </w:tc>
        <w:tc>
          <w:tcPr>
            <w:tcW w:w="5528" w:type="dxa"/>
          </w:tcPr>
          <w:p w14:paraId="5FB1FE32" w14:textId="41E15585" w:rsidR="00D32A04" w:rsidRPr="00562740" w:rsidRDefault="00F66893" w:rsidP="0085138A">
            <w:pPr>
              <w:ind w:firstLineChars="100" w:firstLine="200"/>
              <w:rPr>
                <w:sz w:val="20"/>
                <w:szCs w:val="20"/>
              </w:rPr>
            </w:pPr>
            <w:r w:rsidRPr="00562740">
              <w:rPr>
                <w:rFonts w:hint="eastAsia"/>
                <w:sz w:val="20"/>
                <w:szCs w:val="20"/>
              </w:rPr>
              <w:t>日本人カジノ入場者は、ＩＲ来訪者国内1,400万人中1,067万人を想定していると思われるが、そのうち有病率を想定しないのは、ギャンブル等依存症対策が架空のものになるのではないか。</w:t>
            </w:r>
          </w:p>
        </w:tc>
        <w:tc>
          <w:tcPr>
            <w:tcW w:w="9214" w:type="dxa"/>
          </w:tcPr>
          <w:p w14:paraId="4A71A978" w14:textId="096FEFE7" w:rsidR="00435468" w:rsidRPr="00562740" w:rsidRDefault="00F66893" w:rsidP="00AC0E5F">
            <w:pPr>
              <w:ind w:firstLineChars="100" w:firstLine="200"/>
              <w:rPr>
                <w:sz w:val="20"/>
                <w:szCs w:val="20"/>
              </w:rPr>
            </w:pPr>
            <w:r w:rsidRPr="00562740">
              <w:rPr>
                <w:rFonts w:hint="eastAsia"/>
                <w:sz w:val="20"/>
                <w:szCs w:val="20"/>
              </w:rPr>
              <w:t>日本においては、公営競技及びパチンコ</w:t>
            </w:r>
            <w:r w:rsidR="006E5E74" w:rsidRPr="00562740">
              <w:rPr>
                <w:rFonts w:hint="eastAsia"/>
                <w:sz w:val="20"/>
                <w:szCs w:val="20"/>
              </w:rPr>
              <w:t>など</w:t>
            </w:r>
            <w:r w:rsidRPr="00562740">
              <w:rPr>
                <w:rFonts w:hint="eastAsia"/>
                <w:sz w:val="20"/>
                <w:szCs w:val="20"/>
              </w:rPr>
              <w:t>のギャンブル</w:t>
            </w:r>
            <w:r w:rsidR="00B572F2" w:rsidRPr="00562740">
              <w:rPr>
                <w:rFonts w:hint="eastAsia"/>
                <w:sz w:val="20"/>
                <w:szCs w:val="20"/>
              </w:rPr>
              <w:t>等</w:t>
            </w:r>
            <w:r w:rsidRPr="00562740">
              <w:rPr>
                <w:rFonts w:hint="eastAsia"/>
                <w:sz w:val="20"/>
                <w:szCs w:val="20"/>
              </w:rPr>
              <w:t>が既に存在しており、カジノの設置を原因とする個々の事象を正確に把握し、ギャンブル等依存症が疑われる者等の割合（いわゆる「有病率」）を明示することは困難なものと考えています。</w:t>
            </w:r>
          </w:p>
        </w:tc>
      </w:tr>
      <w:tr w:rsidR="00F66893" w:rsidRPr="00562740" w14:paraId="51BD33F7" w14:textId="77777777" w:rsidTr="00640A42">
        <w:trPr>
          <w:trHeight w:val="359"/>
        </w:trPr>
        <w:tc>
          <w:tcPr>
            <w:tcW w:w="704" w:type="dxa"/>
          </w:tcPr>
          <w:p w14:paraId="4FB5F52E" w14:textId="25D90E6F" w:rsidR="00F66893" w:rsidRPr="00562740" w:rsidRDefault="00F66893" w:rsidP="00640A42">
            <w:pPr>
              <w:jc w:val="center"/>
              <w:rPr>
                <w:sz w:val="20"/>
                <w:szCs w:val="20"/>
              </w:rPr>
            </w:pPr>
            <w:r w:rsidRPr="00562740">
              <w:rPr>
                <w:rFonts w:hint="eastAsia"/>
                <w:sz w:val="20"/>
                <w:szCs w:val="20"/>
              </w:rPr>
              <w:t>1</w:t>
            </w:r>
            <w:r w:rsidR="002962D3" w:rsidRPr="00562740">
              <w:rPr>
                <w:sz w:val="20"/>
                <w:szCs w:val="20"/>
              </w:rPr>
              <w:t>2</w:t>
            </w:r>
          </w:p>
          <w:p w14:paraId="128BD37C" w14:textId="77777777" w:rsidR="00F66893" w:rsidRPr="00562740" w:rsidRDefault="00F66893" w:rsidP="00640A42">
            <w:pPr>
              <w:jc w:val="center"/>
              <w:rPr>
                <w:sz w:val="20"/>
                <w:szCs w:val="20"/>
              </w:rPr>
            </w:pPr>
          </w:p>
        </w:tc>
        <w:tc>
          <w:tcPr>
            <w:tcW w:w="5528" w:type="dxa"/>
          </w:tcPr>
          <w:p w14:paraId="193CF37F" w14:textId="28E3244C" w:rsidR="00F66893" w:rsidRPr="00562740" w:rsidRDefault="00F66893" w:rsidP="00640A42">
            <w:pPr>
              <w:ind w:firstLineChars="100" w:firstLine="200"/>
              <w:rPr>
                <w:sz w:val="20"/>
                <w:szCs w:val="20"/>
              </w:rPr>
            </w:pPr>
            <w:r w:rsidRPr="00562740">
              <w:rPr>
                <w:rFonts w:hint="eastAsia"/>
                <w:sz w:val="20"/>
                <w:szCs w:val="20"/>
              </w:rPr>
              <w:t>夢洲への警備強化はされるようだが、近隣地域（コスモスクエア、大阪港など）への警備強化もしていただけるのか。（夢洲は観光地だが、近隣は生活圏なので）</w:t>
            </w:r>
          </w:p>
        </w:tc>
        <w:tc>
          <w:tcPr>
            <w:tcW w:w="9214" w:type="dxa"/>
          </w:tcPr>
          <w:p w14:paraId="5256127F" w14:textId="09EF8608" w:rsidR="00F66893" w:rsidRPr="00562740" w:rsidRDefault="00080C8D" w:rsidP="00640A42">
            <w:pPr>
              <w:ind w:firstLineChars="100" w:firstLine="200"/>
              <w:rPr>
                <w:sz w:val="20"/>
                <w:szCs w:val="20"/>
              </w:rPr>
            </w:pPr>
            <w:r w:rsidRPr="00562740">
              <w:rPr>
                <w:rFonts w:hint="eastAsia"/>
                <w:sz w:val="20"/>
                <w:szCs w:val="20"/>
              </w:rPr>
              <w:t>大阪</w:t>
            </w:r>
            <w:r w:rsidR="00FC012B" w:rsidRPr="00562740">
              <w:rPr>
                <w:rFonts w:hint="eastAsia"/>
                <w:sz w:val="20"/>
                <w:szCs w:val="20"/>
              </w:rPr>
              <w:t>ＩＲ</w:t>
            </w:r>
            <w:r w:rsidR="00F66893" w:rsidRPr="00562740">
              <w:rPr>
                <w:rFonts w:hint="eastAsia"/>
                <w:sz w:val="20"/>
                <w:szCs w:val="20"/>
              </w:rPr>
              <w:t>の区域整備計画では、犯罪の発生の予防、善良の風俗及び清浄な風俗環境の保持、青少年の健全育成に万全を尽くすため、夢洲内にＩＲ区域やその周辺地域等を管轄する警察署等の警察施設を設置するとともに、大阪府警察の警察職員を増員することとしています。</w:t>
            </w:r>
          </w:p>
          <w:p w14:paraId="5F7EA9D7" w14:textId="1F591EE1" w:rsidR="00F66893" w:rsidRPr="00562740" w:rsidRDefault="00F66893" w:rsidP="00640A42">
            <w:pPr>
              <w:ind w:firstLineChars="100" w:firstLine="200"/>
              <w:rPr>
                <w:sz w:val="20"/>
                <w:szCs w:val="20"/>
              </w:rPr>
            </w:pPr>
            <w:r w:rsidRPr="00562740">
              <w:rPr>
                <w:rFonts w:hint="eastAsia"/>
                <w:sz w:val="20"/>
                <w:szCs w:val="20"/>
              </w:rPr>
              <w:t>具体的な警察力の強化としては、大阪府内の繁華街等においても国内外から多くの旅行者が来訪することを踏まえ、ＩＲ開業に向けて段階的に、警察職員を増員した上で、夢洲内の警察署等を含む大阪府警察の施設に適正配置することとしています。</w:t>
            </w:r>
          </w:p>
          <w:p w14:paraId="39025855" w14:textId="00528CF1" w:rsidR="006E5E74" w:rsidRPr="00562740" w:rsidRDefault="006E5E74" w:rsidP="00640A42">
            <w:pPr>
              <w:ind w:firstLineChars="100" w:firstLine="200"/>
              <w:rPr>
                <w:sz w:val="20"/>
                <w:szCs w:val="20"/>
              </w:rPr>
            </w:pPr>
          </w:p>
          <w:p w14:paraId="79F5A9A7" w14:textId="77777777" w:rsidR="006E5E74" w:rsidRPr="00562740" w:rsidRDefault="006E5E74" w:rsidP="00640A42">
            <w:pPr>
              <w:ind w:firstLineChars="100" w:firstLine="200"/>
              <w:rPr>
                <w:sz w:val="20"/>
                <w:szCs w:val="20"/>
              </w:rPr>
            </w:pPr>
          </w:p>
          <w:p w14:paraId="178E157C" w14:textId="77777777" w:rsidR="00435468" w:rsidRPr="00562740" w:rsidRDefault="00435468" w:rsidP="00435468">
            <w:pPr>
              <w:rPr>
                <w:sz w:val="20"/>
                <w:szCs w:val="20"/>
              </w:rPr>
            </w:pPr>
          </w:p>
          <w:p w14:paraId="2C00AB8A" w14:textId="77777777" w:rsidR="00435468" w:rsidRPr="00562740" w:rsidRDefault="00435468" w:rsidP="00435468">
            <w:pPr>
              <w:rPr>
                <w:sz w:val="20"/>
                <w:szCs w:val="20"/>
              </w:rPr>
            </w:pPr>
          </w:p>
          <w:p w14:paraId="0DAB8D1A" w14:textId="77777777" w:rsidR="00435468" w:rsidRPr="00562740" w:rsidRDefault="00435468" w:rsidP="00435468">
            <w:pPr>
              <w:rPr>
                <w:sz w:val="20"/>
                <w:szCs w:val="20"/>
              </w:rPr>
            </w:pPr>
          </w:p>
          <w:p w14:paraId="7CDCD90A" w14:textId="77777777" w:rsidR="00435468" w:rsidRPr="00562740" w:rsidRDefault="00435468" w:rsidP="00435468">
            <w:pPr>
              <w:rPr>
                <w:sz w:val="20"/>
                <w:szCs w:val="20"/>
              </w:rPr>
            </w:pPr>
          </w:p>
          <w:p w14:paraId="1405DA8F" w14:textId="77777777" w:rsidR="00435468" w:rsidRPr="00562740" w:rsidRDefault="00435468" w:rsidP="00435468">
            <w:pPr>
              <w:rPr>
                <w:sz w:val="20"/>
                <w:szCs w:val="20"/>
              </w:rPr>
            </w:pPr>
          </w:p>
          <w:p w14:paraId="4B10774A" w14:textId="3F7F5C54" w:rsidR="00435468" w:rsidRPr="00562740" w:rsidRDefault="00435468" w:rsidP="00435468">
            <w:pPr>
              <w:rPr>
                <w:sz w:val="20"/>
                <w:szCs w:val="20"/>
              </w:rPr>
            </w:pPr>
          </w:p>
        </w:tc>
      </w:tr>
      <w:tr w:rsidR="00F66893" w:rsidRPr="00562740" w14:paraId="0193242F" w14:textId="77777777" w:rsidTr="00640A42">
        <w:trPr>
          <w:trHeight w:val="359"/>
        </w:trPr>
        <w:tc>
          <w:tcPr>
            <w:tcW w:w="704" w:type="dxa"/>
          </w:tcPr>
          <w:p w14:paraId="33BD3850" w14:textId="787B69EE" w:rsidR="00F66893" w:rsidRPr="00562740" w:rsidRDefault="0085138A" w:rsidP="00640A42">
            <w:pPr>
              <w:jc w:val="center"/>
              <w:rPr>
                <w:sz w:val="20"/>
                <w:szCs w:val="20"/>
              </w:rPr>
            </w:pPr>
            <w:r w:rsidRPr="00562740">
              <w:lastRenderedPageBreak/>
              <w:br w:type="page"/>
            </w:r>
            <w:r w:rsidR="002962D3" w:rsidRPr="00562740">
              <w:rPr>
                <w:rFonts w:hint="eastAsia"/>
                <w:sz w:val="20"/>
                <w:szCs w:val="20"/>
              </w:rPr>
              <w:t>1</w:t>
            </w:r>
            <w:r w:rsidR="00E60EC5" w:rsidRPr="00562740">
              <w:rPr>
                <w:sz w:val="20"/>
                <w:szCs w:val="20"/>
              </w:rPr>
              <w:t>3</w:t>
            </w:r>
          </w:p>
        </w:tc>
        <w:tc>
          <w:tcPr>
            <w:tcW w:w="5528" w:type="dxa"/>
          </w:tcPr>
          <w:p w14:paraId="7D261ECA" w14:textId="2B856611" w:rsidR="00F66893" w:rsidRPr="00562740" w:rsidRDefault="00F66893" w:rsidP="00640A42">
            <w:pPr>
              <w:rPr>
                <w:sz w:val="20"/>
                <w:szCs w:val="20"/>
              </w:rPr>
            </w:pPr>
            <w:r w:rsidRPr="00562740">
              <w:rPr>
                <w:rFonts w:hint="eastAsia"/>
                <w:sz w:val="20"/>
                <w:szCs w:val="20"/>
              </w:rPr>
              <w:t xml:space="preserve">　参加者の方は青少年が不安にと言っていましたが、ＩＲについて不安に思っている子は、いるのでしょうか。</w:t>
            </w:r>
          </w:p>
        </w:tc>
        <w:tc>
          <w:tcPr>
            <w:tcW w:w="9214" w:type="dxa"/>
          </w:tcPr>
          <w:p w14:paraId="3A782165" w14:textId="33F62262" w:rsidR="00F66893" w:rsidRPr="00562740" w:rsidRDefault="00F66893" w:rsidP="00640A42">
            <w:pPr>
              <w:ind w:firstLineChars="100" w:firstLine="200"/>
              <w:rPr>
                <w:sz w:val="20"/>
                <w:szCs w:val="20"/>
              </w:rPr>
            </w:pPr>
            <w:r w:rsidRPr="00562740">
              <w:rPr>
                <w:rFonts w:hint="eastAsia"/>
                <w:sz w:val="20"/>
                <w:szCs w:val="20"/>
              </w:rPr>
              <w:t>ＩＲの設置に向けては、青少年の健全な育成に取り組むことが重要であることから、ＩＲ事業者が実施する対策や大阪府・市、大阪府警察等が実施する対策について、区域整備計画に取りまとめました。</w:t>
            </w:r>
          </w:p>
          <w:p w14:paraId="2DA5FCD4" w14:textId="421D6BFD" w:rsidR="00F66893" w:rsidRPr="00562740" w:rsidRDefault="00F66893" w:rsidP="00640A42">
            <w:pPr>
              <w:ind w:firstLineChars="100" w:firstLine="200"/>
              <w:rPr>
                <w:sz w:val="20"/>
                <w:szCs w:val="20"/>
              </w:rPr>
            </w:pPr>
            <w:r w:rsidRPr="00562740">
              <w:rPr>
                <w:rFonts w:hint="eastAsia"/>
                <w:sz w:val="20"/>
                <w:szCs w:val="20"/>
              </w:rPr>
              <w:t>具体的には、ＩＲ事業者において、</w:t>
            </w:r>
            <w:r w:rsidRPr="00562740">
              <w:rPr>
                <w:sz w:val="20"/>
                <w:szCs w:val="20"/>
              </w:rPr>
              <w:t>20歳未満の者のカジノ施設への入場禁止や勧誘の禁止等の措置を徹底するとともに、青少年が犯罪</w:t>
            </w:r>
            <w:r w:rsidRPr="00562740">
              <w:rPr>
                <w:rFonts w:hint="eastAsia"/>
                <w:sz w:val="20"/>
                <w:szCs w:val="20"/>
              </w:rPr>
              <w:t>に巻き込まれやすい状況等の把握に努め、ＩＲ区域内の巡回ポイントに反映するほか、大阪府警察、大阪府・市等と連携し、ＩＲ区域周辺のパトロール等を実施することとしています。</w:t>
            </w:r>
          </w:p>
          <w:p w14:paraId="53E12263" w14:textId="517D2735" w:rsidR="00F66893" w:rsidRPr="00562740" w:rsidRDefault="00F66893" w:rsidP="00640A42">
            <w:pPr>
              <w:ind w:firstLineChars="100" w:firstLine="200"/>
              <w:rPr>
                <w:sz w:val="20"/>
                <w:szCs w:val="20"/>
              </w:rPr>
            </w:pPr>
            <w:r w:rsidRPr="00562740">
              <w:rPr>
                <w:rFonts w:hint="eastAsia"/>
                <w:sz w:val="20"/>
                <w:szCs w:val="20"/>
              </w:rPr>
              <w:t>また、大阪府・市としては、夢洲内に警察署等の警察施設を設置するとともに、大阪府警察の警察職員を増員することにより、警察力の強化を図ったうえで、ＩＲ区域や周辺商業施設等における夜間巡回、補導活動など青少年を保護するための対策を推進していきます。</w:t>
            </w:r>
          </w:p>
          <w:p w14:paraId="7EF113D7" w14:textId="26532A77" w:rsidR="00435468" w:rsidRPr="00562740" w:rsidRDefault="00843511" w:rsidP="00AC0E5F">
            <w:pPr>
              <w:ind w:firstLineChars="100" w:firstLine="200"/>
              <w:rPr>
                <w:sz w:val="20"/>
                <w:szCs w:val="20"/>
              </w:rPr>
            </w:pPr>
            <w:r w:rsidRPr="00562740">
              <w:rPr>
                <w:rFonts w:hint="eastAsia"/>
                <w:sz w:val="20"/>
                <w:szCs w:val="20"/>
              </w:rPr>
              <w:t>今後、大阪府・市、ＩＲ事業者及び関係機関において、緊密に連携・協力のうえ、青少年の健全育成に万全を尽くしつつ、</w:t>
            </w:r>
            <w:r w:rsidR="00FC012B" w:rsidRPr="00562740">
              <w:rPr>
                <w:rFonts w:hint="eastAsia"/>
                <w:sz w:val="20"/>
                <w:szCs w:val="20"/>
              </w:rPr>
              <w:t>ＩＲ</w:t>
            </w:r>
            <w:r w:rsidRPr="00562740">
              <w:rPr>
                <w:rFonts w:hint="eastAsia"/>
                <w:sz w:val="20"/>
                <w:szCs w:val="20"/>
              </w:rPr>
              <w:t>の開業に向けて取組みを進めていきます。</w:t>
            </w:r>
          </w:p>
        </w:tc>
      </w:tr>
      <w:tr w:rsidR="0034417C" w:rsidRPr="00562740" w14:paraId="3FEA6F3D" w14:textId="77777777" w:rsidTr="0034417C">
        <w:trPr>
          <w:trHeight w:val="359"/>
        </w:trPr>
        <w:tc>
          <w:tcPr>
            <w:tcW w:w="704" w:type="dxa"/>
          </w:tcPr>
          <w:p w14:paraId="78BD9247" w14:textId="41D95A2A" w:rsidR="0034417C" w:rsidRPr="00562740" w:rsidRDefault="002962D3" w:rsidP="000411BF">
            <w:pPr>
              <w:jc w:val="center"/>
              <w:rPr>
                <w:sz w:val="20"/>
                <w:szCs w:val="20"/>
              </w:rPr>
            </w:pPr>
            <w:r w:rsidRPr="00562740">
              <w:rPr>
                <w:rFonts w:hint="eastAsia"/>
                <w:sz w:val="20"/>
                <w:szCs w:val="20"/>
              </w:rPr>
              <w:t>1</w:t>
            </w:r>
            <w:r w:rsidR="00E60EC5" w:rsidRPr="00562740">
              <w:rPr>
                <w:sz w:val="20"/>
                <w:szCs w:val="20"/>
              </w:rPr>
              <w:t>4</w:t>
            </w:r>
          </w:p>
        </w:tc>
        <w:tc>
          <w:tcPr>
            <w:tcW w:w="5528" w:type="dxa"/>
          </w:tcPr>
          <w:p w14:paraId="1BA1950C" w14:textId="329474AC" w:rsidR="0034417C" w:rsidRPr="00562740" w:rsidRDefault="0034417C" w:rsidP="00603A79">
            <w:pPr>
              <w:ind w:firstLineChars="100" w:firstLine="200"/>
              <w:rPr>
                <w:sz w:val="20"/>
                <w:szCs w:val="20"/>
              </w:rPr>
            </w:pPr>
            <w:r w:rsidRPr="00562740">
              <w:rPr>
                <w:rFonts w:hint="eastAsia"/>
                <w:sz w:val="20"/>
                <w:szCs w:val="20"/>
              </w:rPr>
              <w:t>「防犯」はもちろんですが、「防災」特に「液状化」は、どうなりますか？</w:t>
            </w:r>
            <w:r w:rsidR="00C86AC9" w:rsidRPr="00562740" w:rsidDel="00C86AC9">
              <w:rPr>
                <w:rFonts w:hint="eastAsia"/>
                <w:sz w:val="20"/>
                <w:szCs w:val="20"/>
              </w:rPr>
              <w:t xml:space="preserve"> </w:t>
            </w:r>
          </w:p>
        </w:tc>
        <w:tc>
          <w:tcPr>
            <w:tcW w:w="9214" w:type="dxa"/>
          </w:tcPr>
          <w:p w14:paraId="20DFAC87" w14:textId="7CF81B9E" w:rsidR="00264E18" w:rsidRPr="00562740" w:rsidRDefault="00F92CE2" w:rsidP="00F92CE2">
            <w:pPr>
              <w:rPr>
                <w:sz w:val="20"/>
                <w:szCs w:val="20"/>
              </w:rPr>
            </w:pPr>
            <w:r w:rsidRPr="00562740">
              <w:rPr>
                <w:rFonts w:hint="eastAsia"/>
                <w:sz w:val="20"/>
                <w:szCs w:val="20"/>
              </w:rPr>
              <w:t xml:space="preserve">　</w:t>
            </w:r>
            <w:r w:rsidR="00500EB1" w:rsidRPr="00562740">
              <w:rPr>
                <w:rFonts w:hint="eastAsia"/>
                <w:sz w:val="20"/>
                <w:szCs w:val="20"/>
              </w:rPr>
              <w:t>液状化対策については、</w:t>
            </w:r>
            <w:r w:rsidR="00500EB1" w:rsidRPr="00562740">
              <w:t>ＩＲは国際観光拠点の核となる大規模集客施設であり、高い安全性の確保を重視・前提とした対策を講じる必要があることから、</w:t>
            </w:r>
            <w:r w:rsidR="00500EB1" w:rsidRPr="00562740">
              <w:rPr>
                <w:rFonts w:hint="eastAsia"/>
                <w:sz w:val="20"/>
                <w:szCs w:val="20"/>
              </w:rPr>
              <w:t>地盤調査分析の結果に基づき、専門家の助言を受けながら対策の検討を進め、液状化が発生しても建物に被害が生じない対策として、セメント系固化工法により建物直下の約</w:t>
            </w:r>
            <w:r w:rsidR="00500EB1" w:rsidRPr="00562740">
              <w:rPr>
                <w:sz w:val="20"/>
                <w:szCs w:val="20"/>
              </w:rPr>
              <w:t>21ha、改良層厚概ね３から５ｍを改良する</w:t>
            </w:r>
            <w:r w:rsidR="00500EB1" w:rsidRPr="00562740">
              <w:rPr>
                <w:rFonts w:hint="eastAsia"/>
                <w:sz w:val="20"/>
                <w:szCs w:val="20"/>
              </w:rPr>
              <w:t>こととしております</w:t>
            </w:r>
            <w:r w:rsidR="00500EB1" w:rsidRPr="00562740">
              <w:rPr>
                <w:sz w:val="20"/>
                <w:szCs w:val="20"/>
              </w:rPr>
              <w:t>。</w:t>
            </w:r>
          </w:p>
        </w:tc>
      </w:tr>
      <w:tr w:rsidR="00E60EC5" w:rsidRPr="00562740" w14:paraId="49E76B2B" w14:textId="77777777" w:rsidTr="00EE3C04">
        <w:trPr>
          <w:trHeight w:val="359"/>
        </w:trPr>
        <w:tc>
          <w:tcPr>
            <w:tcW w:w="704" w:type="dxa"/>
            <w:shd w:val="clear" w:color="auto" w:fill="auto"/>
          </w:tcPr>
          <w:p w14:paraId="3F0854E7" w14:textId="1669709D" w:rsidR="00E60EC5" w:rsidRPr="00562740" w:rsidRDefault="00E60EC5" w:rsidP="00E60EC5">
            <w:pPr>
              <w:jc w:val="center"/>
              <w:rPr>
                <w:sz w:val="20"/>
                <w:szCs w:val="20"/>
              </w:rPr>
            </w:pPr>
            <w:r w:rsidRPr="00562740">
              <w:rPr>
                <w:rFonts w:hint="eastAsia"/>
                <w:sz w:val="20"/>
                <w:szCs w:val="20"/>
              </w:rPr>
              <w:t>1</w:t>
            </w:r>
            <w:r w:rsidRPr="00562740">
              <w:rPr>
                <w:sz w:val="20"/>
                <w:szCs w:val="20"/>
              </w:rPr>
              <w:t>5</w:t>
            </w:r>
          </w:p>
        </w:tc>
        <w:tc>
          <w:tcPr>
            <w:tcW w:w="5528" w:type="dxa"/>
            <w:shd w:val="clear" w:color="auto" w:fill="auto"/>
          </w:tcPr>
          <w:p w14:paraId="3DAE08CC" w14:textId="1E8451A9" w:rsidR="00E60EC5" w:rsidRPr="00562740" w:rsidRDefault="00E60EC5" w:rsidP="00E60EC5">
            <w:pPr>
              <w:ind w:firstLineChars="100" w:firstLine="200"/>
              <w:rPr>
                <w:sz w:val="20"/>
                <w:szCs w:val="20"/>
              </w:rPr>
            </w:pPr>
            <w:r w:rsidRPr="00562740">
              <w:rPr>
                <w:rFonts w:hint="eastAsia"/>
                <w:sz w:val="20"/>
                <w:szCs w:val="20"/>
              </w:rPr>
              <w:t>市民・府民のカジノに対する反対は最終的に押しきるのか。開催当日、現場で府・市民による暴動に対しては、拘束などするのか。</w:t>
            </w:r>
          </w:p>
        </w:tc>
        <w:tc>
          <w:tcPr>
            <w:tcW w:w="9214" w:type="dxa"/>
            <w:shd w:val="clear" w:color="auto" w:fill="auto"/>
          </w:tcPr>
          <w:p w14:paraId="3427E28B" w14:textId="792ABD05" w:rsidR="00264E18" w:rsidRPr="00562740" w:rsidRDefault="00E60EC5" w:rsidP="00264E18">
            <w:pPr>
              <w:ind w:firstLineChars="100" w:firstLine="200"/>
              <w:rPr>
                <w:sz w:val="20"/>
                <w:szCs w:val="20"/>
              </w:rPr>
            </w:pPr>
            <w:r w:rsidRPr="00562740">
              <w:rPr>
                <w:rFonts w:hint="eastAsia"/>
                <w:sz w:val="20"/>
                <w:szCs w:val="20"/>
              </w:rPr>
              <w:t>ＩＲ</w:t>
            </w:r>
            <w:r w:rsidRPr="00562740">
              <w:rPr>
                <w:sz w:val="20"/>
                <w:szCs w:val="20"/>
              </w:rPr>
              <w:t>整備法においては、区域整備計画を作成しようとするときは、公聴会の開催等住民の意見を反映させるために必要な措置を講じなければならないこと、また、国への申請にあたっては、住民の代表である議会の議決を経ること等が定められており、</w:t>
            </w:r>
            <w:r w:rsidRPr="00562740">
              <w:rPr>
                <w:rFonts w:hint="eastAsia"/>
                <w:sz w:val="20"/>
                <w:szCs w:val="20"/>
              </w:rPr>
              <w:t>大阪</w:t>
            </w:r>
            <w:r w:rsidRPr="00562740">
              <w:rPr>
                <w:sz w:val="20"/>
                <w:szCs w:val="20"/>
              </w:rPr>
              <w:t>府</w:t>
            </w:r>
            <w:r w:rsidRPr="00562740">
              <w:rPr>
                <w:rFonts w:hint="eastAsia"/>
                <w:sz w:val="20"/>
                <w:szCs w:val="20"/>
              </w:rPr>
              <w:t>・</w:t>
            </w:r>
            <w:r w:rsidRPr="00562740">
              <w:rPr>
                <w:sz w:val="20"/>
                <w:szCs w:val="20"/>
              </w:rPr>
              <w:t>市は、区域整備計画について、公聴会やパブリックコメント等を経た上で、</w:t>
            </w:r>
            <w:r w:rsidRPr="00562740">
              <w:rPr>
                <w:rFonts w:hint="eastAsia"/>
                <w:sz w:val="20"/>
                <w:szCs w:val="20"/>
              </w:rPr>
              <w:t>大阪</w:t>
            </w:r>
            <w:r w:rsidRPr="00562740">
              <w:rPr>
                <w:sz w:val="20"/>
                <w:szCs w:val="20"/>
              </w:rPr>
              <w:t>府</w:t>
            </w:r>
            <w:r w:rsidRPr="00562740">
              <w:rPr>
                <w:rFonts w:hint="eastAsia"/>
                <w:sz w:val="20"/>
                <w:szCs w:val="20"/>
              </w:rPr>
              <w:t>・</w:t>
            </w:r>
            <w:r w:rsidRPr="00562740">
              <w:rPr>
                <w:sz w:val="20"/>
                <w:szCs w:val="20"/>
              </w:rPr>
              <w:t>市の両議会で議決され、令和４年４月に国へ区域整備計画の認定申請を行い、令和５年４月に認定を受け、2030年秋頃の開業に向け、取組みを進めてい</w:t>
            </w:r>
            <w:r w:rsidRPr="00562740">
              <w:rPr>
                <w:rFonts w:hint="eastAsia"/>
                <w:sz w:val="20"/>
                <w:szCs w:val="20"/>
              </w:rPr>
              <w:t>ます。</w:t>
            </w:r>
          </w:p>
          <w:p w14:paraId="6F66A292" w14:textId="77777777" w:rsidR="00264E18" w:rsidRPr="00562740" w:rsidRDefault="00E60EC5" w:rsidP="00C42578">
            <w:pPr>
              <w:ind w:firstLineChars="100" w:firstLine="200"/>
              <w:rPr>
                <w:sz w:val="20"/>
                <w:szCs w:val="20"/>
              </w:rPr>
            </w:pPr>
            <w:r w:rsidRPr="00562740">
              <w:rPr>
                <w:sz w:val="20"/>
                <w:szCs w:val="20"/>
              </w:rPr>
              <w:t>ＩＲ開業に向けて</w:t>
            </w:r>
            <w:r w:rsidRPr="00562740">
              <w:rPr>
                <w:rFonts w:hint="eastAsia"/>
                <w:sz w:val="20"/>
                <w:szCs w:val="20"/>
              </w:rPr>
              <w:t>、今後も引き続き、府民</w:t>
            </w:r>
            <w:r w:rsidR="00FC012B" w:rsidRPr="00562740">
              <w:rPr>
                <w:rFonts w:hint="eastAsia"/>
                <w:sz w:val="20"/>
                <w:szCs w:val="20"/>
              </w:rPr>
              <w:t>・市民</w:t>
            </w:r>
            <w:r w:rsidRPr="00562740">
              <w:rPr>
                <w:rFonts w:hint="eastAsia"/>
                <w:sz w:val="20"/>
                <w:szCs w:val="20"/>
              </w:rPr>
              <w:t>の理解が深まるよう、大阪ＩＲの意義や効果等について丁寧な説明を行っていきます。</w:t>
            </w:r>
          </w:p>
          <w:p w14:paraId="58943CA5" w14:textId="626C4A2E" w:rsidR="000637AE" w:rsidRPr="00562740" w:rsidRDefault="000637AE" w:rsidP="00C42578">
            <w:pPr>
              <w:ind w:firstLineChars="100" w:firstLine="200"/>
              <w:rPr>
                <w:sz w:val="20"/>
                <w:szCs w:val="20"/>
              </w:rPr>
            </w:pPr>
          </w:p>
        </w:tc>
      </w:tr>
      <w:tr w:rsidR="00E60EC5" w:rsidRPr="00562740" w14:paraId="37A9AD76" w14:textId="77777777" w:rsidTr="0034417C">
        <w:trPr>
          <w:trHeight w:val="359"/>
        </w:trPr>
        <w:tc>
          <w:tcPr>
            <w:tcW w:w="704" w:type="dxa"/>
          </w:tcPr>
          <w:p w14:paraId="5F166B53" w14:textId="4ADE456B" w:rsidR="00E60EC5" w:rsidRPr="00562740" w:rsidRDefault="00E60EC5" w:rsidP="00E60EC5">
            <w:pPr>
              <w:jc w:val="center"/>
              <w:rPr>
                <w:sz w:val="20"/>
                <w:szCs w:val="20"/>
              </w:rPr>
            </w:pPr>
            <w:r w:rsidRPr="00562740">
              <w:rPr>
                <w:rFonts w:hint="eastAsia"/>
                <w:sz w:val="20"/>
                <w:szCs w:val="20"/>
              </w:rPr>
              <w:lastRenderedPageBreak/>
              <w:t>1</w:t>
            </w:r>
            <w:r w:rsidRPr="00562740">
              <w:rPr>
                <w:sz w:val="20"/>
                <w:szCs w:val="20"/>
              </w:rPr>
              <w:t>6</w:t>
            </w:r>
          </w:p>
        </w:tc>
        <w:tc>
          <w:tcPr>
            <w:tcW w:w="5528" w:type="dxa"/>
          </w:tcPr>
          <w:p w14:paraId="7A203760" w14:textId="59D546A0" w:rsidR="00E60EC5" w:rsidRPr="00562740" w:rsidRDefault="00FF11F5" w:rsidP="00E60EC5">
            <w:pPr>
              <w:ind w:firstLineChars="100" w:firstLine="200"/>
              <w:rPr>
                <w:sz w:val="20"/>
                <w:szCs w:val="20"/>
              </w:rPr>
            </w:pPr>
            <w:r w:rsidRPr="00562740">
              <w:rPr>
                <w:rFonts w:hint="eastAsia"/>
                <w:sz w:val="20"/>
                <w:szCs w:val="20"/>
              </w:rPr>
              <w:t>「ヤジ」はよくないと思います。しかし、</w:t>
            </w:r>
            <w:r w:rsidR="00E60EC5" w:rsidRPr="00562740">
              <w:rPr>
                <w:rFonts w:hint="eastAsia"/>
                <w:sz w:val="20"/>
                <w:szCs w:val="20"/>
              </w:rPr>
              <w:t>「府市」の説明が納得するだけのものになっていない。これでも進められるのであれば、府民・市民としてどう対応すればよいのでしょうか。</w:t>
            </w:r>
          </w:p>
        </w:tc>
        <w:tc>
          <w:tcPr>
            <w:tcW w:w="9214" w:type="dxa"/>
          </w:tcPr>
          <w:p w14:paraId="3A3CBA8D" w14:textId="145C91DF" w:rsidR="00E60EC5" w:rsidRPr="00562740" w:rsidRDefault="00E60EC5" w:rsidP="00E60EC5">
            <w:pPr>
              <w:ind w:firstLineChars="100" w:firstLine="200"/>
              <w:rPr>
                <w:sz w:val="20"/>
                <w:szCs w:val="20"/>
              </w:rPr>
            </w:pPr>
            <w:r w:rsidRPr="00562740">
              <w:rPr>
                <w:rFonts w:hint="eastAsia"/>
                <w:sz w:val="20"/>
                <w:szCs w:val="20"/>
              </w:rPr>
              <w:t>ＩＲの実現に向け、府民</w:t>
            </w:r>
            <w:r w:rsidR="00162FCF" w:rsidRPr="00562740">
              <w:rPr>
                <w:rFonts w:hint="eastAsia"/>
                <w:sz w:val="20"/>
                <w:szCs w:val="20"/>
              </w:rPr>
              <w:t>・市民</w:t>
            </w:r>
            <w:r w:rsidRPr="00562740">
              <w:rPr>
                <w:rFonts w:hint="eastAsia"/>
                <w:sz w:val="20"/>
                <w:szCs w:val="20"/>
              </w:rPr>
              <w:t>の理解を深めていくことが重要であることから、府民全体を対象とした説明会や地元企業を対象としたビジネスセミナー、経済団体や大学への出前講座を実施するとともに、公募型プロポーザル方式により選定した事業者の専門的なノウハウも取り入れ、様々な広報ツールを活用し、効果的な情報発信に努めているところです。</w:t>
            </w:r>
          </w:p>
          <w:p w14:paraId="40F9511D" w14:textId="5F23AF40" w:rsidR="00264E18" w:rsidRPr="00562740" w:rsidRDefault="00E60EC5">
            <w:pPr>
              <w:ind w:firstLineChars="100" w:firstLine="200"/>
              <w:rPr>
                <w:sz w:val="20"/>
                <w:szCs w:val="20"/>
              </w:rPr>
            </w:pPr>
            <w:r w:rsidRPr="00562740">
              <w:rPr>
                <w:rFonts w:hint="eastAsia"/>
                <w:sz w:val="20"/>
                <w:szCs w:val="20"/>
              </w:rPr>
              <w:t>府民</w:t>
            </w:r>
            <w:r w:rsidR="00162FCF" w:rsidRPr="00562740">
              <w:rPr>
                <w:rFonts w:hint="eastAsia"/>
                <w:sz w:val="20"/>
                <w:szCs w:val="20"/>
              </w:rPr>
              <w:t>・市民</w:t>
            </w:r>
            <w:r w:rsidRPr="00562740">
              <w:rPr>
                <w:rFonts w:hint="eastAsia"/>
                <w:sz w:val="20"/>
                <w:szCs w:val="20"/>
              </w:rPr>
              <w:t>の皆様には、様々なご意見があることは認識しており、今後も引き続き、ギャンブル等依存症対策をはじめとする懸念事項対策を着実に進めるとともに、大阪ＩＲの意義や効果</w:t>
            </w:r>
            <w:r w:rsidR="00162FCF" w:rsidRPr="00562740">
              <w:rPr>
                <w:rFonts w:hint="eastAsia"/>
                <w:sz w:val="20"/>
                <w:szCs w:val="20"/>
              </w:rPr>
              <w:t>等</w:t>
            </w:r>
            <w:r w:rsidRPr="00562740">
              <w:rPr>
                <w:rFonts w:hint="eastAsia"/>
                <w:sz w:val="20"/>
                <w:szCs w:val="20"/>
              </w:rPr>
              <w:t>について情報発信を行いながら、府民</w:t>
            </w:r>
            <w:r w:rsidR="00FC012B" w:rsidRPr="00562740">
              <w:rPr>
                <w:rFonts w:hint="eastAsia"/>
                <w:sz w:val="20"/>
                <w:szCs w:val="20"/>
              </w:rPr>
              <w:t>・市民</w:t>
            </w:r>
            <w:r w:rsidRPr="00562740">
              <w:rPr>
                <w:rFonts w:hint="eastAsia"/>
                <w:sz w:val="20"/>
                <w:szCs w:val="20"/>
              </w:rPr>
              <w:t>の理解が深まるよう取り組んでいきます。</w:t>
            </w:r>
          </w:p>
        </w:tc>
      </w:tr>
      <w:tr w:rsidR="00E60EC5" w:rsidRPr="00562740" w14:paraId="58958AAC" w14:textId="77777777" w:rsidTr="00162FCF">
        <w:trPr>
          <w:trHeight w:val="2604"/>
        </w:trPr>
        <w:tc>
          <w:tcPr>
            <w:tcW w:w="704" w:type="dxa"/>
            <w:shd w:val="clear" w:color="auto" w:fill="auto"/>
          </w:tcPr>
          <w:p w14:paraId="0A239DC0" w14:textId="62585B9E" w:rsidR="00E60EC5" w:rsidRPr="00562740" w:rsidRDefault="00E60EC5" w:rsidP="00E60EC5">
            <w:pPr>
              <w:jc w:val="center"/>
              <w:rPr>
                <w:sz w:val="20"/>
                <w:szCs w:val="20"/>
              </w:rPr>
            </w:pPr>
            <w:r w:rsidRPr="00562740">
              <w:br w:type="page"/>
            </w:r>
            <w:r w:rsidRPr="00562740">
              <w:rPr>
                <w:rFonts w:hint="eastAsia"/>
                <w:sz w:val="20"/>
                <w:szCs w:val="20"/>
              </w:rPr>
              <w:t>1</w:t>
            </w:r>
            <w:r w:rsidRPr="00562740">
              <w:rPr>
                <w:sz w:val="20"/>
                <w:szCs w:val="20"/>
              </w:rPr>
              <w:t>7</w:t>
            </w:r>
          </w:p>
        </w:tc>
        <w:tc>
          <w:tcPr>
            <w:tcW w:w="5528" w:type="dxa"/>
            <w:shd w:val="clear" w:color="auto" w:fill="auto"/>
          </w:tcPr>
          <w:p w14:paraId="136775B7" w14:textId="370A207D" w:rsidR="00E60EC5" w:rsidRPr="00562740" w:rsidRDefault="00E60EC5" w:rsidP="00E60EC5">
            <w:pPr>
              <w:ind w:firstLineChars="100" w:firstLine="200"/>
              <w:rPr>
                <w:sz w:val="20"/>
                <w:szCs w:val="20"/>
              </w:rPr>
            </w:pPr>
            <w:r w:rsidRPr="00562740">
              <w:rPr>
                <w:rFonts w:hint="eastAsia"/>
                <w:sz w:val="20"/>
                <w:szCs w:val="20"/>
              </w:rPr>
              <w:t>昨年6月実施の説明会の資料と本日の資料が全く同じ（資料１・２）なのに資料（３・４）はなぜ用意されなかったのでしょうか？資料３の七条件がクリアできたのでしょうか。条件の対応がどうなっているのか昨年とどうかわったのか知らされるべきです。資料４の内容もかわっていると思われますが、伝えるべきでは？</w:t>
            </w:r>
          </w:p>
        </w:tc>
        <w:tc>
          <w:tcPr>
            <w:tcW w:w="9214" w:type="dxa"/>
            <w:shd w:val="clear" w:color="auto" w:fill="auto"/>
          </w:tcPr>
          <w:p w14:paraId="65FA3B49" w14:textId="6FC4A064" w:rsidR="006E5E74" w:rsidRPr="00562740" w:rsidRDefault="006E5E74" w:rsidP="00E60EC5">
            <w:pPr>
              <w:ind w:firstLineChars="100" w:firstLine="200"/>
              <w:rPr>
                <w:sz w:val="20"/>
                <w:szCs w:val="20"/>
              </w:rPr>
            </w:pPr>
            <w:r w:rsidRPr="00562740">
              <w:rPr>
                <w:rFonts w:hint="eastAsia"/>
                <w:sz w:val="20"/>
                <w:szCs w:val="20"/>
              </w:rPr>
              <w:t>区域認定に際し付された条件等については</w:t>
            </w:r>
            <w:r w:rsidR="00162FCF" w:rsidRPr="00562740">
              <w:rPr>
                <w:rFonts w:hint="eastAsia"/>
                <w:sz w:val="20"/>
                <w:szCs w:val="20"/>
              </w:rPr>
              <w:t>、</w:t>
            </w:r>
            <w:r w:rsidRPr="00562740">
              <w:rPr>
                <w:rFonts w:hint="eastAsia"/>
                <w:sz w:val="20"/>
                <w:szCs w:val="20"/>
              </w:rPr>
              <w:t>開業に向けての計画のブラッシュアップ、今後の継続的な取組みの実施、さらには開業以降の取組みにおいて、それぞれ内容やＩＲ</w:t>
            </w:r>
            <w:r w:rsidRPr="00562740">
              <w:rPr>
                <w:sz w:val="20"/>
                <w:szCs w:val="20"/>
              </w:rPr>
              <w:t>事業の進捗段階に応じ適切に対応していくことが重要であると考えており、</w:t>
            </w:r>
            <w:r w:rsidR="00162FCF" w:rsidRPr="00562740">
              <w:rPr>
                <w:rFonts w:hint="eastAsia"/>
                <w:sz w:val="20"/>
                <w:szCs w:val="20"/>
              </w:rPr>
              <w:t>ＩＲ</w:t>
            </w:r>
            <w:r w:rsidRPr="00562740">
              <w:rPr>
                <w:sz w:val="20"/>
                <w:szCs w:val="20"/>
              </w:rPr>
              <w:t>事業者と公民連携し取</w:t>
            </w:r>
            <w:r w:rsidR="00162FCF" w:rsidRPr="00562740">
              <w:rPr>
                <w:rFonts w:hint="eastAsia"/>
                <w:sz w:val="20"/>
                <w:szCs w:val="20"/>
              </w:rPr>
              <w:t>り</w:t>
            </w:r>
            <w:r w:rsidRPr="00562740">
              <w:rPr>
                <w:sz w:val="20"/>
                <w:szCs w:val="20"/>
              </w:rPr>
              <w:t>組んでい</w:t>
            </w:r>
            <w:r w:rsidRPr="00562740">
              <w:rPr>
                <w:rFonts w:hint="eastAsia"/>
                <w:sz w:val="20"/>
                <w:szCs w:val="20"/>
              </w:rPr>
              <w:t>きます</w:t>
            </w:r>
            <w:r w:rsidRPr="00562740">
              <w:rPr>
                <w:sz w:val="20"/>
                <w:szCs w:val="20"/>
              </w:rPr>
              <w:t>。</w:t>
            </w:r>
            <w:r w:rsidRPr="00562740">
              <w:rPr>
                <w:rFonts w:hint="eastAsia"/>
                <w:sz w:val="20"/>
                <w:szCs w:val="20"/>
              </w:rPr>
              <w:t xml:space="preserve">　　</w:t>
            </w:r>
          </w:p>
          <w:p w14:paraId="4A61AC08" w14:textId="77777777" w:rsidR="001F15E2" w:rsidRPr="00562740" w:rsidRDefault="006E5E74" w:rsidP="00C42578">
            <w:pPr>
              <w:ind w:firstLineChars="100" w:firstLine="200"/>
              <w:rPr>
                <w:sz w:val="20"/>
                <w:szCs w:val="20"/>
              </w:rPr>
            </w:pPr>
            <w:r w:rsidRPr="00562740">
              <w:rPr>
                <w:rFonts w:hint="eastAsia"/>
                <w:sz w:val="20"/>
                <w:szCs w:val="20"/>
              </w:rPr>
              <w:t>なお、</w:t>
            </w:r>
            <w:r w:rsidR="00C86AC9" w:rsidRPr="00562740">
              <w:rPr>
                <w:rFonts w:hint="eastAsia"/>
                <w:sz w:val="20"/>
                <w:szCs w:val="20"/>
              </w:rPr>
              <w:t>令和</w:t>
            </w:r>
            <w:r w:rsidR="00C86AC9" w:rsidRPr="00562740">
              <w:rPr>
                <w:sz w:val="20"/>
                <w:szCs w:val="20"/>
              </w:rPr>
              <w:t>6年</w:t>
            </w:r>
            <w:r w:rsidR="0079480E" w:rsidRPr="00562740">
              <w:rPr>
                <w:rFonts w:hint="eastAsia"/>
                <w:sz w:val="20"/>
                <w:szCs w:val="20"/>
              </w:rPr>
              <w:t>６月</w:t>
            </w:r>
            <w:r w:rsidR="00B25F9A" w:rsidRPr="00562740">
              <w:rPr>
                <w:rFonts w:hint="eastAsia"/>
                <w:sz w:val="20"/>
                <w:szCs w:val="20"/>
              </w:rPr>
              <w:t>の説明会</w:t>
            </w:r>
            <w:r w:rsidR="0079480E" w:rsidRPr="00562740">
              <w:rPr>
                <w:rFonts w:hint="eastAsia"/>
                <w:sz w:val="20"/>
                <w:szCs w:val="20"/>
              </w:rPr>
              <w:t>の資料</w:t>
            </w:r>
            <w:r w:rsidR="0079480E" w:rsidRPr="00562740">
              <w:rPr>
                <w:sz w:val="20"/>
                <w:szCs w:val="20"/>
              </w:rPr>
              <w:t>3でお示ししていた７</w:t>
            </w:r>
            <w:r w:rsidR="00E60EC5" w:rsidRPr="00562740">
              <w:rPr>
                <w:rFonts w:hint="eastAsia"/>
                <w:sz w:val="20"/>
                <w:szCs w:val="20"/>
              </w:rPr>
              <w:t>条件への対応等については、国が毎年度、区域整備計画の実施状況評価を行うこととされており、この実施状況評価等において確認されていくものです。</w:t>
            </w:r>
          </w:p>
          <w:p w14:paraId="031BB258" w14:textId="28B0C663" w:rsidR="00264E18" w:rsidRPr="00562740" w:rsidRDefault="002F40C4" w:rsidP="00C42578">
            <w:pPr>
              <w:ind w:firstLineChars="100" w:firstLine="200"/>
              <w:rPr>
                <w:color w:val="FF0000"/>
                <w:sz w:val="20"/>
                <w:szCs w:val="20"/>
              </w:rPr>
            </w:pPr>
            <w:r w:rsidRPr="00562740">
              <w:rPr>
                <w:rFonts w:hint="eastAsia"/>
                <w:sz w:val="20"/>
                <w:szCs w:val="20"/>
              </w:rPr>
              <w:t>また、資料４については</w:t>
            </w:r>
            <w:r w:rsidR="008D41F0" w:rsidRPr="00562740">
              <w:rPr>
                <w:rFonts w:hint="eastAsia"/>
                <w:sz w:val="20"/>
                <w:szCs w:val="20"/>
              </w:rPr>
              <w:t>、</w:t>
            </w:r>
            <w:r w:rsidR="00AF4A94" w:rsidRPr="00562740">
              <w:rPr>
                <w:rFonts w:hint="eastAsia"/>
                <w:sz w:val="20"/>
                <w:szCs w:val="20"/>
              </w:rPr>
              <w:t>ＩＲ</w:t>
            </w:r>
            <w:r w:rsidRPr="00562740">
              <w:rPr>
                <w:rFonts w:hint="eastAsia"/>
                <w:sz w:val="20"/>
                <w:szCs w:val="20"/>
              </w:rPr>
              <w:t>関連協定等の内容ですが、令和5年9月の締結以降、変更はありません。</w:t>
            </w:r>
          </w:p>
        </w:tc>
      </w:tr>
      <w:tr w:rsidR="00E60EC5" w:rsidRPr="00562740" w14:paraId="04AEF7B5" w14:textId="77777777" w:rsidTr="00162FCF">
        <w:trPr>
          <w:trHeight w:val="959"/>
        </w:trPr>
        <w:tc>
          <w:tcPr>
            <w:tcW w:w="704" w:type="dxa"/>
          </w:tcPr>
          <w:p w14:paraId="052DF9A0" w14:textId="1498CAD9" w:rsidR="00E60EC5" w:rsidRPr="00562740" w:rsidRDefault="005D6A81" w:rsidP="008D41F0">
            <w:pPr>
              <w:jc w:val="center"/>
              <w:rPr>
                <w:sz w:val="20"/>
                <w:szCs w:val="20"/>
              </w:rPr>
            </w:pPr>
            <w:r w:rsidRPr="00562740">
              <w:rPr>
                <w:rFonts w:hint="eastAsia"/>
                <w:sz w:val="20"/>
                <w:szCs w:val="20"/>
              </w:rPr>
              <w:t>1</w:t>
            </w:r>
            <w:r w:rsidRPr="00562740">
              <w:rPr>
                <w:sz w:val="20"/>
                <w:szCs w:val="20"/>
              </w:rPr>
              <w:t>8</w:t>
            </w:r>
          </w:p>
        </w:tc>
        <w:tc>
          <w:tcPr>
            <w:tcW w:w="5528" w:type="dxa"/>
          </w:tcPr>
          <w:p w14:paraId="4FCE31BC" w14:textId="26E32469" w:rsidR="00E60EC5" w:rsidRPr="00562740" w:rsidRDefault="00E60EC5" w:rsidP="00E60EC5">
            <w:pPr>
              <w:ind w:firstLineChars="100" w:firstLine="200"/>
              <w:rPr>
                <w:sz w:val="20"/>
                <w:szCs w:val="20"/>
              </w:rPr>
            </w:pPr>
            <w:r w:rsidRPr="00562740">
              <w:rPr>
                <w:rFonts w:hint="eastAsia"/>
                <w:sz w:val="20"/>
                <w:szCs w:val="20"/>
              </w:rPr>
              <w:t>夢洲１区（グリーンテラスゾーン）が令和1</w:t>
            </w:r>
            <w:r w:rsidRPr="00562740">
              <w:rPr>
                <w:sz w:val="20"/>
                <w:szCs w:val="20"/>
              </w:rPr>
              <w:t>5</w:t>
            </w:r>
            <w:r w:rsidRPr="00562740">
              <w:rPr>
                <w:rFonts w:hint="eastAsia"/>
                <w:sz w:val="20"/>
                <w:szCs w:val="20"/>
              </w:rPr>
              <w:t>年に期間満了になるようですが、そのまま更新となるのでしょうか。別の施設に転換する計画はあるのでしょうか。</w:t>
            </w:r>
          </w:p>
        </w:tc>
        <w:tc>
          <w:tcPr>
            <w:tcW w:w="9214" w:type="dxa"/>
          </w:tcPr>
          <w:p w14:paraId="3456E57F" w14:textId="235C95B8" w:rsidR="005D6A81" w:rsidRPr="00562740" w:rsidRDefault="00E60EC5" w:rsidP="00AC0E5F">
            <w:pPr>
              <w:ind w:firstLineChars="100" w:firstLine="200"/>
              <w:rPr>
                <w:sz w:val="20"/>
                <w:szCs w:val="20"/>
              </w:rPr>
            </w:pPr>
            <w:r w:rsidRPr="00562740">
              <w:rPr>
                <w:rFonts w:hint="eastAsia"/>
                <w:sz w:val="20"/>
                <w:szCs w:val="20"/>
              </w:rPr>
              <w:t>夢洲１区では、現在、大規模太陽光発電（</w:t>
            </w:r>
            <w:r w:rsidRPr="00562740">
              <w:rPr>
                <w:sz w:val="20"/>
                <w:szCs w:val="20"/>
              </w:rPr>
              <w:t>メガソーラー</w:t>
            </w:r>
            <w:r w:rsidRPr="00562740">
              <w:rPr>
                <w:rFonts w:hint="eastAsia"/>
                <w:sz w:val="20"/>
                <w:szCs w:val="20"/>
              </w:rPr>
              <w:t>）事業が実施されており、事業期間は令和15年９月までとなっておりますが、事業期間終了後の計画は未定と</w:t>
            </w:r>
            <w:r w:rsidR="00FF11F5" w:rsidRPr="00562740">
              <w:rPr>
                <w:rFonts w:hint="eastAsia"/>
                <w:sz w:val="20"/>
                <w:szCs w:val="20"/>
              </w:rPr>
              <w:t>大阪市</w:t>
            </w:r>
            <w:r w:rsidRPr="00562740">
              <w:rPr>
                <w:rFonts w:hint="eastAsia"/>
                <w:sz w:val="20"/>
                <w:szCs w:val="20"/>
              </w:rPr>
              <w:t>環境局から聞いております。</w:t>
            </w:r>
          </w:p>
        </w:tc>
      </w:tr>
      <w:tr w:rsidR="00E60EC5" w:rsidRPr="00562740" w14:paraId="64285925" w14:textId="77777777" w:rsidTr="00640A42">
        <w:trPr>
          <w:trHeight w:val="359"/>
        </w:trPr>
        <w:tc>
          <w:tcPr>
            <w:tcW w:w="704" w:type="dxa"/>
          </w:tcPr>
          <w:p w14:paraId="657E374F" w14:textId="553FDBF7" w:rsidR="00E60EC5" w:rsidRPr="00562740" w:rsidRDefault="00E60EC5" w:rsidP="00E60EC5">
            <w:pPr>
              <w:jc w:val="center"/>
              <w:rPr>
                <w:sz w:val="20"/>
                <w:szCs w:val="20"/>
              </w:rPr>
            </w:pPr>
            <w:r w:rsidRPr="00562740">
              <w:rPr>
                <w:rFonts w:hint="eastAsia"/>
                <w:sz w:val="20"/>
                <w:szCs w:val="20"/>
              </w:rPr>
              <w:t>1</w:t>
            </w:r>
            <w:r w:rsidRPr="00562740">
              <w:rPr>
                <w:sz w:val="20"/>
                <w:szCs w:val="20"/>
              </w:rPr>
              <w:t>9</w:t>
            </w:r>
          </w:p>
          <w:p w14:paraId="361CACF6" w14:textId="77777777" w:rsidR="00E60EC5" w:rsidRPr="00562740" w:rsidRDefault="00E60EC5" w:rsidP="00E60EC5">
            <w:pPr>
              <w:jc w:val="center"/>
              <w:rPr>
                <w:sz w:val="20"/>
                <w:szCs w:val="20"/>
              </w:rPr>
            </w:pPr>
          </w:p>
        </w:tc>
        <w:tc>
          <w:tcPr>
            <w:tcW w:w="5528" w:type="dxa"/>
          </w:tcPr>
          <w:p w14:paraId="05243C5A" w14:textId="1CB51E30" w:rsidR="00E60EC5" w:rsidRPr="00562740" w:rsidRDefault="00E60EC5" w:rsidP="00E60EC5">
            <w:pPr>
              <w:ind w:firstLineChars="100" w:firstLine="200"/>
              <w:rPr>
                <w:sz w:val="20"/>
                <w:szCs w:val="20"/>
              </w:rPr>
            </w:pPr>
            <w:r w:rsidRPr="00562740">
              <w:rPr>
                <w:rFonts w:hint="eastAsia"/>
                <w:sz w:val="20"/>
                <w:szCs w:val="20"/>
              </w:rPr>
              <w:t>裁判もいくつもされています。そのことについても説明が必要ではありませんか。</w:t>
            </w:r>
          </w:p>
        </w:tc>
        <w:tc>
          <w:tcPr>
            <w:tcW w:w="9214" w:type="dxa"/>
          </w:tcPr>
          <w:p w14:paraId="5A2BFA26" w14:textId="31E8836B" w:rsidR="006E5E74" w:rsidRPr="00562740" w:rsidRDefault="00E60EC5">
            <w:pPr>
              <w:ind w:firstLineChars="100" w:firstLine="200"/>
              <w:rPr>
                <w:sz w:val="20"/>
                <w:szCs w:val="20"/>
              </w:rPr>
            </w:pPr>
            <w:r w:rsidRPr="00562740">
              <w:rPr>
                <w:rFonts w:hint="eastAsia"/>
                <w:sz w:val="20"/>
                <w:szCs w:val="20"/>
              </w:rPr>
              <w:t>ＩＲに関しては、複数の住民訴訟が提起されていますが、現在係属中であるため、説明は控えさせていただきます。</w:t>
            </w:r>
          </w:p>
        </w:tc>
      </w:tr>
      <w:tr w:rsidR="00E60EC5" w:rsidRPr="00B572F2" w14:paraId="18AB9A23" w14:textId="77777777" w:rsidTr="00817E71">
        <w:trPr>
          <w:trHeight w:val="359"/>
        </w:trPr>
        <w:tc>
          <w:tcPr>
            <w:tcW w:w="704" w:type="dxa"/>
            <w:shd w:val="clear" w:color="auto" w:fill="auto"/>
          </w:tcPr>
          <w:p w14:paraId="6A142311" w14:textId="5E5F70F0" w:rsidR="00E60EC5" w:rsidRPr="00562740" w:rsidRDefault="00E60EC5" w:rsidP="00E60EC5">
            <w:pPr>
              <w:jc w:val="center"/>
              <w:rPr>
                <w:sz w:val="20"/>
                <w:szCs w:val="20"/>
              </w:rPr>
            </w:pPr>
            <w:r w:rsidRPr="00562740">
              <w:rPr>
                <w:rFonts w:hint="eastAsia"/>
                <w:sz w:val="20"/>
                <w:szCs w:val="20"/>
              </w:rPr>
              <w:t>2</w:t>
            </w:r>
            <w:r w:rsidRPr="00562740">
              <w:rPr>
                <w:sz w:val="20"/>
                <w:szCs w:val="20"/>
              </w:rPr>
              <w:t>0</w:t>
            </w:r>
          </w:p>
        </w:tc>
        <w:tc>
          <w:tcPr>
            <w:tcW w:w="5528" w:type="dxa"/>
            <w:shd w:val="clear" w:color="auto" w:fill="auto"/>
          </w:tcPr>
          <w:p w14:paraId="7E2DAB96" w14:textId="400675F7" w:rsidR="00E60EC5" w:rsidRPr="00562740" w:rsidRDefault="00E60EC5">
            <w:pPr>
              <w:ind w:firstLineChars="100" w:firstLine="200"/>
              <w:rPr>
                <w:sz w:val="20"/>
                <w:szCs w:val="20"/>
              </w:rPr>
            </w:pPr>
            <w:r w:rsidRPr="00562740">
              <w:rPr>
                <w:rFonts w:hint="eastAsia"/>
                <w:sz w:val="20"/>
                <w:szCs w:val="20"/>
              </w:rPr>
              <w:t>司会者の人への疑問。怒号が何回かありました。その度に大声出さないでと必死になっておられましたが、怒号が出てあたり前、少なくともまじめに税金を払っている者であれば大きな声を出したくなるはずです。この場は株主総会ではないことをわかっておられますか？</w:t>
            </w:r>
          </w:p>
        </w:tc>
        <w:tc>
          <w:tcPr>
            <w:tcW w:w="9214" w:type="dxa"/>
            <w:shd w:val="clear" w:color="auto" w:fill="auto"/>
          </w:tcPr>
          <w:p w14:paraId="391C95CD" w14:textId="506A605B" w:rsidR="00E60EC5" w:rsidRPr="00B572F2" w:rsidRDefault="00E60EC5" w:rsidP="008D41F0">
            <w:pPr>
              <w:ind w:firstLineChars="100" w:firstLine="200"/>
              <w:rPr>
                <w:sz w:val="20"/>
                <w:szCs w:val="20"/>
              </w:rPr>
            </w:pPr>
            <w:r w:rsidRPr="00562740">
              <w:rPr>
                <w:rFonts w:hint="eastAsia"/>
                <w:sz w:val="20"/>
                <w:szCs w:val="20"/>
              </w:rPr>
              <w:t>説明会</w:t>
            </w:r>
            <w:r w:rsidR="005D6A81" w:rsidRPr="00562740">
              <w:rPr>
                <w:rFonts w:hint="eastAsia"/>
                <w:sz w:val="20"/>
                <w:szCs w:val="20"/>
              </w:rPr>
              <w:t>の運営に</w:t>
            </w:r>
            <w:r w:rsidRPr="00562740">
              <w:rPr>
                <w:rFonts w:hint="eastAsia"/>
                <w:sz w:val="20"/>
                <w:szCs w:val="20"/>
              </w:rPr>
              <w:t>おいては、</w:t>
            </w:r>
            <w:r w:rsidR="002F40C4" w:rsidRPr="00562740">
              <w:rPr>
                <w:rFonts w:hint="eastAsia"/>
                <w:sz w:val="20"/>
                <w:szCs w:val="20"/>
              </w:rPr>
              <w:t>限られた時間内で、できるだけ多くの方のご発言をお受けできるよう、</w:t>
            </w:r>
            <w:r w:rsidRPr="00562740">
              <w:rPr>
                <w:rFonts w:hint="eastAsia"/>
                <w:sz w:val="20"/>
                <w:szCs w:val="20"/>
              </w:rPr>
              <w:t>円滑な進行</w:t>
            </w:r>
            <w:r w:rsidR="005D6A81" w:rsidRPr="00562740">
              <w:rPr>
                <w:rFonts w:hint="eastAsia"/>
                <w:sz w:val="20"/>
                <w:szCs w:val="20"/>
              </w:rPr>
              <w:t>を確保していく</w:t>
            </w:r>
            <w:r w:rsidR="002F40C4" w:rsidRPr="00562740">
              <w:rPr>
                <w:rFonts w:hint="eastAsia"/>
                <w:sz w:val="20"/>
                <w:szCs w:val="20"/>
              </w:rPr>
              <w:t>必要があることから</w:t>
            </w:r>
            <w:r w:rsidR="005D6A81" w:rsidRPr="00562740">
              <w:rPr>
                <w:rFonts w:hint="eastAsia"/>
                <w:sz w:val="20"/>
                <w:szCs w:val="20"/>
              </w:rPr>
              <w:t>、司会者からの指名を受けていない方の</w:t>
            </w:r>
            <w:r w:rsidR="00D51B88" w:rsidRPr="00562740">
              <w:rPr>
                <w:rFonts w:hint="eastAsia"/>
                <w:sz w:val="20"/>
                <w:szCs w:val="20"/>
              </w:rPr>
              <w:t>ご</w:t>
            </w:r>
            <w:r w:rsidR="005D6A81" w:rsidRPr="00562740">
              <w:rPr>
                <w:rFonts w:hint="eastAsia"/>
                <w:sz w:val="20"/>
                <w:szCs w:val="20"/>
              </w:rPr>
              <w:t>発言やヤジなど、進行上、支障となる行為や他の参加者の迷惑となる行為は控えていただくよう、参加者の皆様には</w:t>
            </w:r>
            <w:r w:rsidRPr="00562740">
              <w:rPr>
                <w:rFonts w:hint="eastAsia"/>
                <w:sz w:val="20"/>
                <w:szCs w:val="20"/>
              </w:rPr>
              <w:t>事前に</w:t>
            </w:r>
            <w:r w:rsidR="005D6A81" w:rsidRPr="00562740">
              <w:rPr>
                <w:rFonts w:hint="eastAsia"/>
                <w:sz w:val="20"/>
                <w:szCs w:val="20"/>
              </w:rPr>
              <w:t>周知させて</w:t>
            </w:r>
            <w:r w:rsidR="00D51B88" w:rsidRPr="00562740">
              <w:rPr>
                <w:rFonts w:hint="eastAsia"/>
                <w:sz w:val="20"/>
                <w:szCs w:val="20"/>
              </w:rPr>
              <w:t>いただ</w:t>
            </w:r>
            <w:r w:rsidR="008418F8" w:rsidRPr="00562740">
              <w:rPr>
                <w:rFonts w:hint="eastAsia"/>
                <w:sz w:val="20"/>
                <w:szCs w:val="20"/>
              </w:rPr>
              <w:t>いて</w:t>
            </w:r>
            <w:r w:rsidR="002F40C4" w:rsidRPr="00562740">
              <w:rPr>
                <w:rFonts w:hint="eastAsia"/>
                <w:sz w:val="20"/>
                <w:szCs w:val="20"/>
              </w:rPr>
              <w:t>いるところです。そうした行為が見受けられた場合</w:t>
            </w:r>
            <w:r w:rsidRPr="00562740">
              <w:rPr>
                <w:rFonts w:hint="eastAsia"/>
                <w:sz w:val="20"/>
                <w:szCs w:val="20"/>
              </w:rPr>
              <w:t>には、</w:t>
            </w:r>
            <w:r w:rsidR="002F40C4" w:rsidRPr="00562740">
              <w:rPr>
                <w:rFonts w:hint="eastAsia"/>
                <w:sz w:val="20"/>
                <w:szCs w:val="20"/>
              </w:rPr>
              <w:t>司会者から</w:t>
            </w:r>
            <w:r w:rsidRPr="00562740">
              <w:rPr>
                <w:rFonts w:hint="eastAsia"/>
                <w:sz w:val="20"/>
                <w:szCs w:val="20"/>
              </w:rPr>
              <w:t>ご注意させていただくことと</w:t>
            </w:r>
            <w:r w:rsidR="00850A15" w:rsidRPr="00562740">
              <w:rPr>
                <w:rFonts w:hint="eastAsia"/>
                <w:sz w:val="20"/>
                <w:szCs w:val="20"/>
              </w:rPr>
              <w:t>して</w:t>
            </w:r>
            <w:r w:rsidRPr="00562740">
              <w:rPr>
                <w:rFonts w:hint="eastAsia"/>
                <w:sz w:val="20"/>
                <w:szCs w:val="20"/>
              </w:rPr>
              <w:t>います。</w:t>
            </w:r>
          </w:p>
        </w:tc>
      </w:tr>
    </w:tbl>
    <w:p w14:paraId="3289DFD6" w14:textId="5D6E18A3" w:rsidR="00961D85" w:rsidRDefault="00961D85" w:rsidP="003C30D3">
      <w:pPr>
        <w:spacing w:line="240" w:lineRule="exact"/>
      </w:pPr>
    </w:p>
    <w:sectPr w:rsidR="00961D85" w:rsidSect="00435468">
      <w:headerReference w:type="default" r:id="rId8"/>
      <w:footerReference w:type="default" r:id="rId9"/>
      <w:pgSz w:w="16838" w:h="11906" w:orient="landscape" w:code="9"/>
      <w:pgMar w:top="680" w:right="720" w:bottom="340" w:left="720" w:header="851" w:footer="992" w:gutter="0"/>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4906D" w14:textId="77777777" w:rsidR="002E73BC" w:rsidRDefault="002E73BC" w:rsidP="00E354EB">
      <w:r>
        <w:separator/>
      </w:r>
    </w:p>
  </w:endnote>
  <w:endnote w:type="continuationSeparator" w:id="0">
    <w:p w14:paraId="0D0857DC" w14:textId="77777777" w:rsidR="002E73BC" w:rsidRDefault="002E73BC" w:rsidP="00E35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472591"/>
      <w:docPartObj>
        <w:docPartGallery w:val="Page Numbers (Bottom of Page)"/>
        <w:docPartUnique/>
      </w:docPartObj>
    </w:sdtPr>
    <w:sdtEndPr/>
    <w:sdtContent>
      <w:p w14:paraId="063272A5" w14:textId="735884F7" w:rsidR="008D5C86" w:rsidRDefault="008D5C86" w:rsidP="008D41F0">
        <w:pPr>
          <w:pStyle w:val="a7"/>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7026D" w14:textId="77777777" w:rsidR="002E73BC" w:rsidRDefault="002E73BC" w:rsidP="00E354EB">
      <w:r>
        <w:separator/>
      </w:r>
    </w:p>
  </w:footnote>
  <w:footnote w:type="continuationSeparator" w:id="0">
    <w:p w14:paraId="5786902C" w14:textId="77777777" w:rsidR="002E73BC" w:rsidRDefault="002E73BC" w:rsidP="00E35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F56AC" w14:textId="666F6A9F" w:rsidR="00286797" w:rsidRPr="00004E5B" w:rsidRDefault="00286797" w:rsidP="00004E5B">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02E14"/>
    <w:multiLevelType w:val="hybridMultilevel"/>
    <w:tmpl w:val="C85ADD68"/>
    <w:lvl w:ilvl="0" w:tplc="B45CB4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046415"/>
    <w:multiLevelType w:val="hybridMultilevel"/>
    <w:tmpl w:val="7DC8CDFC"/>
    <w:lvl w:ilvl="0" w:tplc="B45CB4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5663704"/>
    <w:multiLevelType w:val="hybridMultilevel"/>
    <w:tmpl w:val="B8F07A60"/>
    <w:lvl w:ilvl="0" w:tplc="B45CB4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A3D392D"/>
    <w:multiLevelType w:val="hybridMultilevel"/>
    <w:tmpl w:val="C6E49D9C"/>
    <w:lvl w:ilvl="0" w:tplc="66C4D7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81"/>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D85"/>
    <w:rsid w:val="00004E5B"/>
    <w:rsid w:val="00006CF1"/>
    <w:rsid w:val="00010B6A"/>
    <w:rsid w:val="0001122C"/>
    <w:rsid w:val="00012D51"/>
    <w:rsid w:val="0002236A"/>
    <w:rsid w:val="00033CEA"/>
    <w:rsid w:val="000411BF"/>
    <w:rsid w:val="000614C5"/>
    <w:rsid w:val="000637AE"/>
    <w:rsid w:val="0007656F"/>
    <w:rsid w:val="00080C8D"/>
    <w:rsid w:val="000A0873"/>
    <w:rsid w:val="000D5A23"/>
    <w:rsid w:val="000E76FB"/>
    <w:rsid w:val="00104B03"/>
    <w:rsid w:val="00112730"/>
    <w:rsid w:val="00162FCF"/>
    <w:rsid w:val="001A30A9"/>
    <w:rsid w:val="001A734D"/>
    <w:rsid w:val="001B2458"/>
    <w:rsid w:val="001C18C0"/>
    <w:rsid w:val="001D5D5E"/>
    <w:rsid w:val="001F15E2"/>
    <w:rsid w:val="0021127D"/>
    <w:rsid w:val="00216053"/>
    <w:rsid w:val="00216555"/>
    <w:rsid w:val="00220B05"/>
    <w:rsid w:val="00223114"/>
    <w:rsid w:val="00240AD7"/>
    <w:rsid w:val="00256447"/>
    <w:rsid w:val="00264E18"/>
    <w:rsid w:val="00275C7E"/>
    <w:rsid w:val="00277A35"/>
    <w:rsid w:val="002818A5"/>
    <w:rsid w:val="00286797"/>
    <w:rsid w:val="00286B65"/>
    <w:rsid w:val="00291501"/>
    <w:rsid w:val="00291C92"/>
    <w:rsid w:val="002962D3"/>
    <w:rsid w:val="00296A9C"/>
    <w:rsid w:val="002A455F"/>
    <w:rsid w:val="002B48F6"/>
    <w:rsid w:val="002C102A"/>
    <w:rsid w:val="002C43AA"/>
    <w:rsid w:val="002D0F3A"/>
    <w:rsid w:val="002D1534"/>
    <w:rsid w:val="002D46FD"/>
    <w:rsid w:val="002D5EAD"/>
    <w:rsid w:val="002E3B35"/>
    <w:rsid w:val="002E73BC"/>
    <w:rsid w:val="002E79BD"/>
    <w:rsid w:val="002F3631"/>
    <w:rsid w:val="002F40C4"/>
    <w:rsid w:val="0031005A"/>
    <w:rsid w:val="00317ABF"/>
    <w:rsid w:val="0033361A"/>
    <w:rsid w:val="0034361F"/>
    <w:rsid w:val="0034417C"/>
    <w:rsid w:val="00350135"/>
    <w:rsid w:val="003510F5"/>
    <w:rsid w:val="0036226B"/>
    <w:rsid w:val="003A4A69"/>
    <w:rsid w:val="003A6765"/>
    <w:rsid w:val="003B3AA9"/>
    <w:rsid w:val="003C10C6"/>
    <w:rsid w:val="003C30D3"/>
    <w:rsid w:val="003F4189"/>
    <w:rsid w:val="003F5E90"/>
    <w:rsid w:val="00403943"/>
    <w:rsid w:val="004115F8"/>
    <w:rsid w:val="00430544"/>
    <w:rsid w:val="00435468"/>
    <w:rsid w:val="00446382"/>
    <w:rsid w:val="004646D0"/>
    <w:rsid w:val="004804AB"/>
    <w:rsid w:val="00491A3D"/>
    <w:rsid w:val="0049415E"/>
    <w:rsid w:val="004A3172"/>
    <w:rsid w:val="004A78E3"/>
    <w:rsid w:val="004B7E2F"/>
    <w:rsid w:val="004D5D1B"/>
    <w:rsid w:val="00500EB1"/>
    <w:rsid w:val="00517552"/>
    <w:rsid w:val="00530276"/>
    <w:rsid w:val="005309A4"/>
    <w:rsid w:val="005564BB"/>
    <w:rsid w:val="00562740"/>
    <w:rsid w:val="00571604"/>
    <w:rsid w:val="00576B74"/>
    <w:rsid w:val="0059397C"/>
    <w:rsid w:val="005976CE"/>
    <w:rsid w:val="005C22B8"/>
    <w:rsid w:val="005C24BC"/>
    <w:rsid w:val="005C29BC"/>
    <w:rsid w:val="005D6A81"/>
    <w:rsid w:val="005E0DFF"/>
    <w:rsid w:val="00600603"/>
    <w:rsid w:val="00603A79"/>
    <w:rsid w:val="00613E11"/>
    <w:rsid w:val="00614D42"/>
    <w:rsid w:val="006174C2"/>
    <w:rsid w:val="00625C1B"/>
    <w:rsid w:val="006432DC"/>
    <w:rsid w:val="0064385A"/>
    <w:rsid w:val="0065291C"/>
    <w:rsid w:val="00663A02"/>
    <w:rsid w:val="00672A27"/>
    <w:rsid w:val="006C09AB"/>
    <w:rsid w:val="006C248C"/>
    <w:rsid w:val="006D61B7"/>
    <w:rsid w:val="006D6C0F"/>
    <w:rsid w:val="006E12AF"/>
    <w:rsid w:val="006E5E74"/>
    <w:rsid w:val="006F34A4"/>
    <w:rsid w:val="007056B1"/>
    <w:rsid w:val="00707389"/>
    <w:rsid w:val="007240FD"/>
    <w:rsid w:val="00725FBC"/>
    <w:rsid w:val="00733983"/>
    <w:rsid w:val="0073610C"/>
    <w:rsid w:val="00747CA1"/>
    <w:rsid w:val="00756E94"/>
    <w:rsid w:val="007612A7"/>
    <w:rsid w:val="00771AE3"/>
    <w:rsid w:val="007774D9"/>
    <w:rsid w:val="007865DC"/>
    <w:rsid w:val="0079480E"/>
    <w:rsid w:val="007B3682"/>
    <w:rsid w:val="007B5D6D"/>
    <w:rsid w:val="007F706B"/>
    <w:rsid w:val="00817E71"/>
    <w:rsid w:val="00817F39"/>
    <w:rsid w:val="00823DA1"/>
    <w:rsid w:val="0083551C"/>
    <w:rsid w:val="008418F8"/>
    <w:rsid w:val="00843511"/>
    <w:rsid w:val="00850A15"/>
    <w:rsid w:val="0085138A"/>
    <w:rsid w:val="0087115E"/>
    <w:rsid w:val="00874CB6"/>
    <w:rsid w:val="008C2050"/>
    <w:rsid w:val="008C42F5"/>
    <w:rsid w:val="008D41F0"/>
    <w:rsid w:val="008D4858"/>
    <w:rsid w:val="008D5C86"/>
    <w:rsid w:val="008E0859"/>
    <w:rsid w:val="008E1188"/>
    <w:rsid w:val="008E3948"/>
    <w:rsid w:val="008E4E62"/>
    <w:rsid w:val="008F35D1"/>
    <w:rsid w:val="008F531C"/>
    <w:rsid w:val="00901FEA"/>
    <w:rsid w:val="00907949"/>
    <w:rsid w:val="009109A6"/>
    <w:rsid w:val="00913AE6"/>
    <w:rsid w:val="00923E59"/>
    <w:rsid w:val="009309DE"/>
    <w:rsid w:val="00936CB8"/>
    <w:rsid w:val="00937DCA"/>
    <w:rsid w:val="009526E0"/>
    <w:rsid w:val="00952B8B"/>
    <w:rsid w:val="009548B4"/>
    <w:rsid w:val="00961D85"/>
    <w:rsid w:val="0097787D"/>
    <w:rsid w:val="0099399C"/>
    <w:rsid w:val="009B64CB"/>
    <w:rsid w:val="009F00E3"/>
    <w:rsid w:val="009F1F4C"/>
    <w:rsid w:val="00A00596"/>
    <w:rsid w:val="00A113CC"/>
    <w:rsid w:val="00A13097"/>
    <w:rsid w:val="00A17953"/>
    <w:rsid w:val="00A42A69"/>
    <w:rsid w:val="00A54175"/>
    <w:rsid w:val="00A5503E"/>
    <w:rsid w:val="00A56387"/>
    <w:rsid w:val="00A61BF7"/>
    <w:rsid w:val="00A64B8E"/>
    <w:rsid w:val="00A70A85"/>
    <w:rsid w:val="00A814B3"/>
    <w:rsid w:val="00A83392"/>
    <w:rsid w:val="00A87B57"/>
    <w:rsid w:val="00AA0E23"/>
    <w:rsid w:val="00AA2514"/>
    <w:rsid w:val="00AC0E5F"/>
    <w:rsid w:val="00AC3563"/>
    <w:rsid w:val="00AD753F"/>
    <w:rsid w:val="00AE38AC"/>
    <w:rsid w:val="00AF4A94"/>
    <w:rsid w:val="00B059A2"/>
    <w:rsid w:val="00B069E8"/>
    <w:rsid w:val="00B17A8E"/>
    <w:rsid w:val="00B25F9A"/>
    <w:rsid w:val="00B26DFE"/>
    <w:rsid w:val="00B46DAA"/>
    <w:rsid w:val="00B572F2"/>
    <w:rsid w:val="00B65303"/>
    <w:rsid w:val="00B82452"/>
    <w:rsid w:val="00B961C8"/>
    <w:rsid w:val="00BB00AC"/>
    <w:rsid w:val="00BB2BCC"/>
    <w:rsid w:val="00BB7D36"/>
    <w:rsid w:val="00BD18A5"/>
    <w:rsid w:val="00BD4C6A"/>
    <w:rsid w:val="00BD63EA"/>
    <w:rsid w:val="00BE3221"/>
    <w:rsid w:val="00BE3320"/>
    <w:rsid w:val="00C0126B"/>
    <w:rsid w:val="00C122B5"/>
    <w:rsid w:val="00C42578"/>
    <w:rsid w:val="00C45DDF"/>
    <w:rsid w:val="00C5307B"/>
    <w:rsid w:val="00C57756"/>
    <w:rsid w:val="00C623B0"/>
    <w:rsid w:val="00C63656"/>
    <w:rsid w:val="00C66713"/>
    <w:rsid w:val="00C800E3"/>
    <w:rsid w:val="00C8688A"/>
    <w:rsid w:val="00C86AC9"/>
    <w:rsid w:val="00CA44E2"/>
    <w:rsid w:val="00CB40DF"/>
    <w:rsid w:val="00CC0D0E"/>
    <w:rsid w:val="00CD2D36"/>
    <w:rsid w:val="00CF1764"/>
    <w:rsid w:val="00CF7E4A"/>
    <w:rsid w:val="00D04FEE"/>
    <w:rsid w:val="00D2040F"/>
    <w:rsid w:val="00D32A04"/>
    <w:rsid w:val="00D32D6B"/>
    <w:rsid w:val="00D51B88"/>
    <w:rsid w:val="00D6120D"/>
    <w:rsid w:val="00D6218A"/>
    <w:rsid w:val="00D64BF1"/>
    <w:rsid w:val="00D74B60"/>
    <w:rsid w:val="00D76230"/>
    <w:rsid w:val="00D77E4B"/>
    <w:rsid w:val="00DA04C7"/>
    <w:rsid w:val="00DA5BE8"/>
    <w:rsid w:val="00E04E6F"/>
    <w:rsid w:val="00E354EB"/>
    <w:rsid w:val="00E41B40"/>
    <w:rsid w:val="00E43C32"/>
    <w:rsid w:val="00E45402"/>
    <w:rsid w:val="00E60EC5"/>
    <w:rsid w:val="00E70031"/>
    <w:rsid w:val="00E84F78"/>
    <w:rsid w:val="00E872F8"/>
    <w:rsid w:val="00E94C48"/>
    <w:rsid w:val="00ED3E5F"/>
    <w:rsid w:val="00ED52CF"/>
    <w:rsid w:val="00EE4CD7"/>
    <w:rsid w:val="00EE58A5"/>
    <w:rsid w:val="00EE5983"/>
    <w:rsid w:val="00EF1F37"/>
    <w:rsid w:val="00EF483C"/>
    <w:rsid w:val="00EF4FC6"/>
    <w:rsid w:val="00EF6EDC"/>
    <w:rsid w:val="00F1542E"/>
    <w:rsid w:val="00F16258"/>
    <w:rsid w:val="00F23F8E"/>
    <w:rsid w:val="00F25D7C"/>
    <w:rsid w:val="00F37D19"/>
    <w:rsid w:val="00F44A9A"/>
    <w:rsid w:val="00F66893"/>
    <w:rsid w:val="00F66C05"/>
    <w:rsid w:val="00F81434"/>
    <w:rsid w:val="00F92CE2"/>
    <w:rsid w:val="00FA1120"/>
    <w:rsid w:val="00FA4ABB"/>
    <w:rsid w:val="00FC012B"/>
    <w:rsid w:val="00FC4F79"/>
    <w:rsid w:val="00FD1AB1"/>
    <w:rsid w:val="00FD2F70"/>
    <w:rsid w:val="00FE1040"/>
    <w:rsid w:val="00FE2232"/>
    <w:rsid w:val="00FF1064"/>
    <w:rsid w:val="00FF11F5"/>
    <w:rsid w:val="00FF5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CBE2C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1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37DCA"/>
    <w:rPr>
      <w:color w:val="0563C1" w:themeColor="hyperlink"/>
      <w:u w:val="single"/>
    </w:rPr>
  </w:style>
  <w:style w:type="paragraph" w:styleId="a5">
    <w:name w:val="header"/>
    <w:basedOn w:val="a"/>
    <w:link w:val="a6"/>
    <w:uiPriority w:val="99"/>
    <w:unhideWhenUsed/>
    <w:rsid w:val="00E354EB"/>
    <w:pPr>
      <w:tabs>
        <w:tab w:val="center" w:pos="4252"/>
        <w:tab w:val="right" w:pos="8504"/>
      </w:tabs>
      <w:snapToGrid w:val="0"/>
    </w:pPr>
  </w:style>
  <w:style w:type="character" w:customStyle="1" w:styleId="a6">
    <w:name w:val="ヘッダー (文字)"/>
    <w:basedOn w:val="a0"/>
    <w:link w:val="a5"/>
    <w:uiPriority w:val="99"/>
    <w:rsid w:val="00E354EB"/>
  </w:style>
  <w:style w:type="paragraph" w:styleId="a7">
    <w:name w:val="footer"/>
    <w:basedOn w:val="a"/>
    <w:link w:val="a8"/>
    <w:uiPriority w:val="99"/>
    <w:unhideWhenUsed/>
    <w:rsid w:val="00E354EB"/>
    <w:pPr>
      <w:tabs>
        <w:tab w:val="center" w:pos="4252"/>
        <w:tab w:val="right" w:pos="8504"/>
      </w:tabs>
      <w:snapToGrid w:val="0"/>
    </w:pPr>
  </w:style>
  <w:style w:type="character" w:customStyle="1" w:styleId="a8">
    <w:name w:val="フッター (文字)"/>
    <w:basedOn w:val="a0"/>
    <w:link w:val="a7"/>
    <w:uiPriority w:val="99"/>
    <w:rsid w:val="00E354EB"/>
  </w:style>
  <w:style w:type="paragraph" w:styleId="a9">
    <w:name w:val="List Paragraph"/>
    <w:basedOn w:val="a"/>
    <w:uiPriority w:val="34"/>
    <w:qFormat/>
    <w:rsid w:val="00FF5F39"/>
    <w:pPr>
      <w:ind w:leftChars="400" w:left="840"/>
    </w:pPr>
  </w:style>
  <w:style w:type="character" w:styleId="aa">
    <w:name w:val="annotation reference"/>
    <w:basedOn w:val="a0"/>
    <w:uiPriority w:val="99"/>
    <w:semiHidden/>
    <w:unhideWhenUsed/>
    <w:rsid w:val="00D74B60"/>
    <w:rPr>
      <w:sz w:val="18"/>
      <w:szCs w:val="18"/>
    </w:rPr>
  </w:style>
  <w:style w:type="paragraph" w:styleId="ab">
    <w:name w:val="annotation text"/>
    <w:basedOn w:val="a"/>
    <w:link w:val="ac"/>
    <w:uiPriority w:val="99"/>
    <w:unhideWhenUsed/>
    <w:rsid w:val="00D74B60"/>
    <w:pPr>
      <w:jc w:val="left"/>
    </w:pPr>
  </w:style>
  <w:style w:type="character" w:customStyle="1" w:styleId="ac">
    <w:name w:val="コメント文字列 (文字)"/>
    <w:basedOn w:val="a0"/>
    <w:link w:val="ab"/>
    <w:uiPriority w:val="99"/>
    <w:rsid w:val="00D74B60"/>
  </w:style>
  <w:style w:type="paragraph" w:styleId="ad">
    <w:name w:val="annotation subject"/>
    <w:basedOn w:val="ab"/>
    <w:next w:val="ab"/>
    <w:link w:val="ae"/>
    <w:uiPriority w:val="99"/>
    <w:semiHidden/>
    <w:unhideWhenUsed/>
    <w:rsid w:val="00EE58A5"/>
    <w:rPr>
      <w:b/>
      <w:bCs/>
    </w:rPr>
  </w:style>
  <w:style w:type="character" w:customStyle="1" w:styleId="ae">
    <w:name w:val="コメント内容 (文字)"/>
    <w:basedOn w:val="ac"/>
    <w:link w:val="ad"/>
    <w:uiPriority w:val="99"/>
    <w:semiHidden/>
    <w:rsid w:val="00EE58A5"/>
    <w:rPr>
      <w:b/>
      <w:bCs/>
    </w:rPr>
  </w:style>
  <w:style w:type="paragraph" w:styleId="af">
    <w:name w:val="Revision"/>
    <w:hidden/>
    <w:uiPriority w:val="99"/>
    <w:semiHidden/>
    <w:rsid w:val="00011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80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3E1BB-071A-404C-9097-AF5B720F5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1054</Words>
  <Characters>6009</Characters>
  <Application>Microsoft Office Word</Application>
  <DocSecurity>0</DocSecurity>
  <Lines>50</Lines>
  <Paragraphs>14</Paragraphs>
  <ScaleCrop>false</ScaleCrop>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2025-07-07T04:56:00Z</dcterms:created>
  <dcterms:modified xsi:type="dcterms:W3CDTF">2025-07-07T04:56:00Z</dcterms:modified>
</cp:coreProperties>
</file>