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6FD84593" w:rsidR="00961D85" w:rsidRPr="00937DCA" w:rsidRDefault="00B961C8">
      <w:pPr>
        <w:rPr>
          <w:sz w:val="22"/>
        </w:rPr>
      </w:pPr>
      <w:r>
        <w:rPr>
          <w:rFonts w:hint="eastAsia"/>
          <w:sz w:val="22"/>
        </w:rPr>
        <w:t>令和</w:t>
      </w:r>
      <w:r w:rsidR="00A64B8E">
        <w:rPr>
          <w:rFonts w:hint="eastAsia"/>
          <w:sz w:val="22"/>
        </w:rPr>
        <w:t>６</w:t>
      </w:r>
      <w:r>
        <w:rPr>
          <w:rFonts w:hint="eastAsia"/>
          <w:sz w:val="22"/>
        </w:rPr>
        <w:t>年度「</w:t>
      </w:r>
      <w:r w:rsidR="00961D85" w:rsidRPr="00937DCA">
        <w:rPr>
          <w:sz w:val="22"/>
        </w:rPr>
        <w:t>大阪</w:t>
      </w:r>
      <w:r w:rsidR="0059397C">
        <w:rPr>
          <w:rFonts w:hint="eastAsia"/>
          <w:sz w:val="22"/>
        </w:rPr>
        <w:t>ＩＲ</w:t>
      </w:r>
      <w:r w:rsidR="00961D85" w:rsidRPr="00937DCA">
        <w:rPr>
          <w:sz w:val="22"/>
        </w:rPr>
        <w:t>（統合型リゾート）説明会</w:t>
      </w:r>
      <w:r>
        <w:rPr>
          <w:rFonts w:hint="eastAsia"/>
          <w:sz w:val="22"/>
        </w:rPr>
        <w:t>」（第</w:t>
      </w:r>
      <w:r w:rsidR="00D77E4B">
        <w:rPr>
          <w:rFonts w:hint="eastAsia"/>
          <w:sz w:val="22"/>
        </w:rPr>
        <w:t>４</w:t>
      </w:r>
      <w:r>
        <w:rPr>
          <w:rFonts w:hint="eastAsia"/>
          <w:sz w:val="22"/>
        </w:rPr>
        <w:t>回）</w:t>
      </w:r>
      <w:r w:rsidR="00961D85" w:rsidRPr="00937DCA">
        <w:rPr>
          <w:sz w:val="22"/>
        </w:rPr>
        <w:t xml:space="preserve">　アンケートによる質問について</w:t>
      </w:r>
    </w:p>
    <w:p w14:paraId="748AEC1A" w14:textId="1CC7EC3F" w:rsidR="00961D85" w:rsidRDefault="00961D85" w:rsidP="00961D85">
      <w:pPr>
        <w:ind w:firstLineChars="100" w:firstLine="210"/>
      </w:pPr>
      <w:r>
        <w:rPr>
          <w:rFonts w:hint="eastAsia"/>
        </w:rPr>
        <w:t xml:space="preserve">●受付件数　</w:t>
      </w:r>
      <w:r w:rsidR="0059397C">
        <w:rPr>
          <w:rFonts w:hint="eastAsia"/>
        </w:rPr>
        <w:t>３</w:t>
      </w:r>
      <w:r w:rsidRPr="00961D85">
        <w:rPr>
          <w:rFonts w:hint="eastAsia"/>
        </w:rPr>
        <w:t>件</w:t>
      </w:r>
    </w:p>
    <w:tbl>
      <w:tblPr>
        <w:tblStyle w:val="a3"/>
        <w:tblW w:w="15446" w:type="dxa"/>
        <w:tblLook w:val="04A0" w:firstRow="1" w:lastRow="0" w:firstColumn="1" w:lastColumn="0" w:noHBand="0" w:noVBand="1"/>
      </w:tblPr>
      <w:tblGrid>
        <w:gridCol w:w="562"/>
        <w:gridCol w:w="5670"/>
        <w:gridCol w:w="9214"/>
      </w:tblGrid>
      <w:tr w:rsidR="00961D85" w14:paraId="61F16231" w14:textId="77777777" w:rsidTr="00216053">
        <w:trPr>
          <w:trHeight w:val="324"/>
        </w:trPr>
        <w:tc>
          <w:tcPr>
            <w:tcW w:w="562" w:type="dxa"/>
          </w:tcPr>
          <w:p w14:paraId="1090A34D" w14:textId="77777777" w:rsidR="00961D85" w:rsidRPr="00937DCA" w:rsidRDefault="00961D85">
            <w:pPr>
              <w:rPr>
                <w:sz w:val="20"/>
                <w:szCs w:val="20"/>
              </w:rPr>
            </w:pPr>
          </w:p>
        </w:tc>
        <w:tc>
          <w:tcPr>
            <w:tcW w:w="5670" w:type="dxa"/>
          </w:tcPr>
          <w:p w14:paraId="17D56C36" w14:textId="77777777" w:rsidR="00961D85" w:rsidRPr="00937DCA" w:rsidRDefault="00961D85" w:rsidP="00961D85">
            <w:pPr>
              <w:jc w:val="center"/>
              <w:rPr>
                <w:szCs w:val="21"/>
              </w:rPr>
            </w:pPr>
            <w:r w:rsidRPr="00937DCA">
              <w:rPr>
                <w:rFonts w:hint="eastAsia"/>
                <w:szCs w:val="21"/>
              </w:rPr>
              <w:t>質問</w:t>
            </w:r>
          </w:p>
        </w:tc>
        <w:tc>
          <w:tcPr>
            <w:tcW w:w="9214" w:type="dxa"/>
          </w:tcPr>
          <w:p w14:paraId="71A4FFAC" w14:textId="77777777" w:rsidR="00961D85" w:rsidRPr="00937DCA" w:rsidRDefault="00961D85" w:rsidP="00961D85">
            <w:pPr>
              <w:jc w:val="center"/>
              <w:rPr>
                <w:szCs w:val="21"/>
              </w:rPr>
            </w:pPr>
            <w:r w:rsidRPr="00937DCA">
              <w:rPr>
                <w:rFonts w:hint="eastAsia"/>
                <w:szCs w:val="21"/>
              </w:rPr>
              <w:t>回答</w:t>
            </w:r>
          </w:p>
        </w:tc>
      </w:tr>
      <w:tr w:rsidR="009309DE" w14:paraId="29B86DFC" w14:textId="77777777" w:rsidTr="00216053">
        <w:trPr>
          <w:trHeight w:val="1095"/>
        </w:trPr>
        <w:tc>
          <w:tcPr>
            <w:tcW w:w="562" w:type="dxa"/>
          </w:tcPr>
          <w:p w14:paraId="5498D147" w14:textId="4072A9AF" w:rsidR="009309DE" w:rsidRDefault="00430544" w:rsidP="000411BF">
            <w:pPr>
              <w:jc w:val="center"/>
              <w:rPr>
                <w:sz w:val="20"/>
                <w:szCs w:val="20"/>
              </w:rPr>
            </w:pPr>
            <w:r>
              <w:rPr>
                <w:rFonts w:hint="eastAsia"/>
                <w:sz w:val="20"/>
                <w:szCs w:val="20"/>
              </w:rPr>
              <w:t>１</w:t>
            </w:r>
          </w:p>
        </w:tc>
        <w:tc>
          <w:tcPr>
            <w:tcW w:w="5670" w:type="dxa"/>
          </w:tcPr>
          <w:p w14:paraId="05A179C5" w14:textId="2476510D" w:rsidR="002A455F" w:rsidRPr="0059397C" w:rsidRDefault="0059397C" w:rsidP="0059397C">
            <w:pPr>
              <w:ind w:firstLineChars="100" w:firstLine="200"/>
              <w:rPr>
                <w:sz w:val="20"/>
                <w:szCs w:val="20"/>
              </w:rPr>
            </w:pPr>
            <w:r w:rsidRPr="0059397C">
              <w:rPr>
                <w:rFonts w:hint="eastAsia"/>
                <w:sz w:val="20"/>
                <w:szCs w:val="20"/>
              </w:rPr>
              <w:t>物価高がこれからも起こる中、入場料を払ってまで来客を見込めるのか。</w:t>
            </w:r>
          </w:p>
        </w:tc>
        <w:tc>
          <w:tcPr>
            <w:tcW w:w="9214" w:type="dxa"/>
          </w:tcPr>
          <w:p w14:paraId="7E53BA38" w14:textId="16A53520" w:rsidR="00FF5F39" w:rsidRPr="00C45DDF" w:rsidRDefault="00FF5F39" w:rsidP="00C45DDF">
            <w:pPr>
              <w:ind w:firstLineChars="100" w:firstLine="200"/>
              <w:rPr>
                <w:sz w:val="20"/>
                <w:szCs w:val="20"/>
              </w:rPr>
            </w:pPr>
            <w:r w:rsidRPr="00C45DDF">
              <w:rPr>
                <w:rFonts w:hint="eastAsia"/>
                <w:sz w:val="20"/>
                <w:szCs w:val="20"/>
              </w:rPr>
              <w:t>ＩＲは、民設民営事業として、ＭＧＭ・オリックスの中核企業</w:t>
            </w:r>
            <w:r w:rsidR="001C18C0">
              <w:rPr>
                <w:rFonts w:hint="eastAsia"/>
                <w:sz w:val="20"/>
                <w:szCs w:val="20"/>
              </w:rPr>
              <w:t>２</w:t>
            </w:r>
            <w:r w:rsidRPr="00C45DDF">
              <w:rPr>
                <w:rFonts w:hint="eastAsia"/>
                <w:sz w:val="20"/>
                <w:szCs w:val="20"/>
              </w:rPr>
              <w:t>社に加えて、大阪・関西を中心とした企業</w:t>
            </w:r>
            <w:r w:rsidRPr="00C45DDF">
              <w:rPr>
                <w:sz w:val="20"/>
                <w:szCs w:val="20"/>
              </w:rPr>
              <w:t>22社が自らの出資や金融機関からの借入れにより資金調達を行い、リスクを負って</w:t>
            </w:r>
            <w:r w:rsidR="001C18C0">
              <w:rPr>
                <w:rFonts w:hint="eastAsia"/>
                <w:sz w:val="20"/>
                <w:szCs w:val="20"/>
              </w:rPr>
              <w:t>１</w:t>
            </w:r>
            <w:r w:rsidRPr="00C45DDF">
              <w:rPr>
                <w:sz w:val="20"/>
                <w:szCs w:val="20"/>
              </w:rPr>
              <w:t>兆円を超える投資を行うものであり、事業計画の立案にあたっても、慎重に検討・精査されているものと認識</w:t>
            </w:r>
            <w:r w:rsidRPr="00C45DDF">
              <w:rPr>
                <w:rFonts w:hint="eastAsia"/>
                <w:sz w:val="20"/>
                <w:szCs w:val="20"/>
              </w:rPr>
              <w:t>しています</w:t>
            </w:r>
            <w:r w:rsidRPr="00C45DDF">
              <w:rPr>
                <w:sz w:val="20"/>
                <w:szCs w:val="20"/>
              </w:rPr>
              <w:t>。</w:t>
            </w:r>
          </w:p>
          <w:p w14:paraId="6D1BF558" w14:textId="2B5D6848" w:rsidR="00FF5F39" w:rsidRPr="00C45DDF" w:rsidRDefault="00FF5F39" w:rsidP="00C45DDF">
            <w:pPr>
              <w:ind w:firstLineChars="100" w:firstLine="200"/>
              <w:rPr>
                <w:sz w:val="20"/>
                <w:szCs w:val="20"/>
              </w:rPr>
            </w:pPr>
            <w:r w:rsidRPr="00C45DDF">
              <w:rPr>
                <w:rFonts w:hint="eastAsia"/>
                <w:sz w:val="20"/>
                <w:szCs w:val="20"/>
              </w:rPr>
              <w:t>来訪者数等の効果推計については、ＩＲ事業者において、人口統計や訪日外客統計等の統計情報、既存のＩＲ施設や近畿圏及び日本国内にある集客施設等の実績・知見等を踏まえて推計されており、また、それらの来場者数を踏まえて売上等が見込まれているものです。</w:t>
            </w:r>
          </w:p>
          <w:p w14:paraId="64A02CAC" w14:textId="0EEC0FE6" w:rsidR="00FF5F39" w:rsidRPr="00C45DDF" w:rsidRDefault="00FF5F39" w:rsidP="00C45DDF">
            <w:pPr>
              <w:ind w:firstLineChars="100" w:firstLine="200"/>
              <w:rPr>
                <w:sz w:val="20"/>
                <w:szCs w:val="20"/>
              </w:rPr>
            </w:pPr>
            <w:r w:rsidRPr="00C45DDF">
              <w:rPr>
                <w:rFonts w:hint="eastAsia"/>
                <w:sz w:val="20"/>
                <w:szCs w:val="20"/>
              </w:rPr>
              <w:t>また、借入については、返済原資を当該プロジェクトから生み出される収益・キャッシュフローと当該プロジェクト資産に限定する、プロジェクトファイナンスによる借入を予定しており、事業者においては、金融機関の厳しい審査を経て、金融機関との融資契約を締結しています。</w:t>
            </w:r>
          </w:p>
          <w:p w14:paraId="6FDEBE7D" w14:textId="0A781AA9" w:rsidR="00FF5F39" w:rsidRPr="00C45DDF" w:rsidRDefault="00FF5F39" w:rsidP="00C45DDF">
            <w:pPr>
              <w:ind w:firstLineChars="100" w:firstLine="200"/>
              <w:rPr>
                <w:sz w:val="20"/>
                <w:szCs w:val="20"/>
              </w:rPr>
            </w:pPr>
            <w:r w:rsidRPr="00C45DDF">
              <w:rPr>
                <w:rFonts w:hint="eastAsia"/>
                <w:sz w:val="20"/>
                <w:szCs w:val="20"/>
              </w:rPr>
              <w:t>加えて、シンガポールのＩＲとの概括的な比較においても、大阪の方が、域外からの旅行者数や後背圏の規模が大きく、高い需要のポテンシャルを有するものと考えています。</w:t>
            </w:r>
          </w:p>
          <w:p w14:paraId="1EC94067" w14:textId="3C73B3E6" w:rsidR="009309DE" w:rsidRPr="00C45DDF" w:rsidRDefault="00FF5F39" w:rsidP="00C45DDF">
            <w:pPr>
              <w:ind w:firstLineChars="100" w:firstLine="200"/>
              <w:rPr>
                <w:sz w:val="20"/>
                <w:szCs w:val="20"/>
              </w:rPr>
            </w:pPr>
            <w:r w:rsidRPr="00C45DDF">
              <w:rPr>
                <w:rFonts w:hint="eastAsia"/>
                <w:sz w:val="20"/>
                <w:szCs w:val="20"/>
              </w:rPr>
              <w:t>これらを総合的に勘案すると、実現性のある相応の計画であると認識していますが、事業の進捗に合わせて、事業者と引き続き精緻化を図っていくとともに、各ＩＲ施設やコンテンツの魅力の維持・向上に取り組むなど、その推計値の実現に向けた取組</w:t>
            </w:r>
            <w:r w:rsidR="00E41B40">
              <w:rPr>
                <w:rFonts w:hint="eastAsia"/>
                <w:sz w:val="20"/>
                <w:szCs w:val="20"/>
              </w:rPr>
              <w:t>み</w:t>
            </w:r>
            <w:r w:rsidRPr="00C45DDF">
              <w:rPr>
                <w:rFonts w:hint="eastAsia"/>
                <w:sz w:val="20"/>
                <w:szCs w:val="20"/>
              </w:rPr>
              <w:t>を着実に進めていきます。</w:t>
            </w:r>
          </w:p>
        </w:tc>
      </w:tr>
      <w:tr w:rsidR="00216053" w14:paraId="5CAC9FF8" w14:textId="77777777" w:rsidTr="00216053">
        <w:trPr>
          <w:trHeight w:val="1095"/>
        </w:trPr>
        <w:tc>
          <w:tcPr>
            <w:tcW w:w="562" w:type="dxa"/>
          </w:tcPr>
          <w:p w14:paraId="1373D76C" w14:textId="28AFCF5A" w:rsidR="00216053" w:rsidRDefault="00216053" w:rsidP="000411BF">
            <w:pPr>
              <w:jc w:val="center"/>
              <w:rPr>
                <w:sz w:val="20"/>
                <w:szCs w:val="20"/>
              </w:rPr>
            </w:pPr>
            <w:r>
              <w:rPr>
                <w:rFonts w:hint="eastAsia"/>
                <w:sz w:val="20"/>
                <w:szCs w:val="20"/>
              </w:rPr>
              <w:t>2</w:t>
            </w:r>
          </w:p>
        </w:tc>
        <w:tc>
          <w:tcPr>
            <w:tcW w:w="5670" w:type="dxa"/>
          </w:tcPr>
          <w:p w14:paraId="5E1BF34B" w14:textId="436077BD" w:rsidR="00216053" w:rsidRPr="0059397C" w:rsidRDefault="00216053" w:rsidP="0059397C">
            <w:pPr>
              <w:ind w:firstLineChars="100" w:firstLine="200"/>
              <w:rPr>
                <w:sz w:val="20"/>
                <w:szCs w:val="20"/>
              </w:rPr>
            </w:pPr>
            <w:r w:rsidRPr="0059397C">
              <w:rPr>
                <w:rFonts w:hint="eastAsia"/>
                <w:sz w:val="20"/>
                <w:szCs w:val="20"/>
              </w:rPr>
              <w:t>議会に於いて維新が過半数を割っても、国との協議により府市はＩＲ事業を進めていくのでしょうか？</w:t>
            </w:r>
          </w:p>
        </w:tc>
        <w:tc>
          <w:tcPr>
            <w:tcW w:w="9214" w:type="dxa"/>
          </w:tcPr>
          <w:p w14:paraId="338E07A8" w14:textId="31092E71" w:rsidR="00216053" w:rsidRPr="00C45DDF" w:rsidRDefault="00216053" w:rsidP="00C45DDF">
            <w:pPr>
              <w:ind w:firstLineChars="100" w:firstLine="200"/>
              <w:rPr>
                <w:sz w:val="20"/>
                <w:szCs w:val="20"/>
              </w:rPr>
            </w:pPr>
            <w:r w:rsidRPr="00C45DDF">
              <w:rPr>
                <w:rFonts w:hint="eastAsia"/>
                <w:sz w:val="20"/>
                <w:szCs w:val="20"/>
              </w:rPr>
              <w:t>ＩＲは、長期にわたる継続的・安定的な事業実施が前提であること</w:t>
            </w:r>
            <w:r w:rsidR="00E41B40">
              <w:rPr>
                <w:rFonts w:hint="eastAsia"/>
                <w:sz w:val="20"/>
                <w:szCs w:val="20"/>
              </w:rPr>
              <w:t>など</w:t>
            </w:r>
            <w:r w:rsidRPr="00C45DDF">
              <w:rPr>
                <w:rFonts w:hint="eastAsia"/>
                <w:sz w:val="20"/>
                <w:szCs w:val="20"/>
              </w:rPr>
              <w:t>から、</w:t>
            </w:r>
            <w:r w:rsidRPr="00C45DDF">
              <w:rPr>
                <w:sz w:val="20"/>
                <w:szCs w:val="20"/>
              </w:rPr>
              <w:t>事業期間を35年間の設定としています。</w:t>
            </w:r>
          </w:p>
          <w:p w14:paraId="715172C3" w14:textId="4847815D" w:rsidR="00216053" w:rsidRPr="00216053" w:rsidRDefault="00216053" w:rsidP="00C45DDF">
            <w:pPr>
              <w:ind w:firstLineChars="100" w:firstLine="200"/>
              <w:rPr>
                <w:sz w:val="20"/>
                <w:szCs w:val="20"/>
              </w:rPr>
            </w:pPr>
            <w:r w:rsidRPr="00216053">
              <w:rPr>
                <w:rFonts w:hint="eastAsia"/>
                <w:sz w:val="20"/>
                <w:szCs w:val="20"/>
              </w:rPr>
              <w:t>ＩＲ整備法では、ＩＲ事業の着実な実施を一定期間ごとに確認するため、区域整備計画の更新制度が設けられており、認定から当初</w:t>
            </w:r>
            <w:r w:rsidRPr="00216053">
              <w:rPr>
                <w:sz w:val="20"/>
                <w:szCs w:val="20"/>
              </w:rPr>
              <w:t>10年、その後は</w:t>
            </w:r>
            <w:r w:rsidRPr="00216053">
              <w:rPr>
                <w:rFonts w:hint="eastAsia"/>
                <w:sz w:val="20"/>
                <w:szCs w:val="20"/>
              </w:rPr>
              <w:t>５</w:t>
            </w:r>
            <w:r w:rsidRPr="00216053">
              <w:rPr>
                <w:sz w:val="20"/>
                <w:szCs w:val="20"/>
              </w:rPr>
              <w:t>年毎に</w:t>
            </w:r>
            <w:r w:rsidRPr="00216053">
              <w:rPr>
                <w:rFonts w:hint="eastAsia"/>
                <w:sz w:val="20"/>
                <w:szCs w:val="20"/>
              </w:rPr>
              <w:t>区域整備計画の</w:t>
            </w:r>
            <w:r w:rsidRPr="00216053">
              <w:rPr>
                <w:sz w:val="20"/>
                <w:szCs w:val="20"/>
              </w:rPr>
              <w:t>更新申請を行う必要があ</w:t>
            </w:r>
            <w:r w:rsidRPr="00216053">
              <w:rPr>
                <w:rFonts w:hint="eastAsia"/>
                <w:sz w:val="20"/>
                <w:szCs w:val="20"/>
              </w:rPr>
              <w:t>り、更新申請に際しては、当初認定申請時と同様に議会の議決を経なければならないとされています。</w:t>
            </w:r>
          </w:p>
        </w:tc>
      </w:tr>
    </w:tbl>
    <w:p w14:paraId="6CC0533D" w14:textId="7B9A6903" w:rsidR="003A4A69" w:rsidRDefault="003A4A69"/>
    <w:tbl>
      <w:tblPr>
        <w:tblStyle w:val="a3"/>
        <w:tblW w:w="15446" w:type="dxa"/>
        <w:tblLook w:val="04A0" w:firstRow="1" w:lastRow="0" w:firstColumn="1" w:lastColumn="0" w:noHBand="0" w:noVBand="1"/>
      </w:tblPr>
      <w:tblGrid>
        <w:gridCol w:w="562"/>
        <w:gridCol w:w="5670"/>
        <w:gridCol w:w="9214"/>
      </w:tblGrid>
      <w:tr w:rsidR="00CB40DF" w14:paraId="2D1A7971" w14:textId="77777777" w:rsidTr="00E41B40">
        <w:trPr>
          <w:trHeight w:val="3114"/>
        </w:trPr>
        <w:tc>
          <w:tcPr>
            <w:tcW w:w="562" w:type="dxa"/>
          </w:tcPr>
          <w:p w14:paraId="52267ED7" w14:textId="74592FB8" w:rsidR="00CB40DF" w:rsidRDefault="00CB40DF" w:rsidP="00430544">
            <w:pPr>
              <w:jc w:val="center"/>
              <w:rPr>
                <w:sz w:val="20"/>
                <w:szCs w:val="20"/>
              </w:rPr>
            </w:pPr>
            <w:r>
              <w:rPr>
                <w:rFonts w:hint="eastAsia"/>
                <w:sz w:val="20"/>
                <w:szCs w:val="20"/>
              </w:rPr>
              <w:t>３</w:t>
            </w:r>
          </w:p>
        </w:tc>
        <w:tc>
          <w:tcPr>
            <w:tcW w:w="5670" w:type="dxa"/>
          </w:tcPr>
          <w:p w14:paraId="29DCCEA8" w14:textId="61D80D41" w:rsidR="00CB40DF" w:rsidRDefault="00CB40DF" w:rsidP="00CB40DF">
            <w:pPr>
              <w:rPr>
                <w:sz w:val="20"/>
                <w:szCs w:val="20"/>
              </w:rPr>
            </w:pPr>
            <w:r w:rsidRPr="00CB40DF">
              <w:rPr>
                <w:rFonts w:hint="eastAsia"/>
                <w:sz w:val="20"/>
                <w:szCs w:val="20"/>
              </w:rPr>
              <w:t xml:space="preserve">　</w:t>
            </w:r>
            <w:r w:rsidR="0059397C" w:rsidRPr="0059397C">
              <w:rPr>
                <w:rFonts w:hint="eastAsia"/>
                <w:sz w:val="20"/>
                <w:szCs w:val="20"/>
              </w:rPr>
              <w:t>このままこの事業をすすめて市民・府民の不利益がおきたら、どのように、どこが責任をとってくれるのでしょうか？</w:t>
            </w:r>
          </w:p>
        </w:tc>
        <w:tc>
          <w:tcPr>
            <w:tcW w:w="9214" w:type="dxa"/>
          </w:tcPr>
          <w:p w14:paraId="2D3F18FE" w14:textId="698667B7" w:rsidR="00CB40DF" w:rsidRPr="00C45DDF" w:rsidRDefault="00FF5F39" w:rsidP="00286797">
            <w:pPr>
              <w:ind w:firstLineChars="100" w:firstLine="200"/>
              <w:rPr>
                <w:sz w:val="20"/>
                <w:szCs w:val="20"/>
              </w:rPr>
            </w:pPr>
            <w:r w:rsidRPr="00C45DDF">
              <w:rPr>
                <w:rFonts w:hint="eastAsia"/>
                <w:sz w:val="20"/>
                <w:szCs w:val="20"/>
              </w:rPr>
              <w:t>ＩＲについては、区域整備計画案を作成し、議会</w:t>
            </w:r>
            <w:r w:rsidR="00286797">
              <w:rPr>
                <w:rFonts w:hint="eastAsia"/>
                <w:sz w:val="20"/>
                <w:szCs w:val="20"/>
              </w:rPr>
              <w:t>の</w:t>
            </w:r>
            <w:r w:rsidRPr="00C45DDF">
              <w:rPr>
                <w:rFonts w:hint="eastAsia"/>
                <w:sz w:val="20"/>
                <w:szCs w:val="20"/>
              </w:rPr>
              <w:t>議決を得て国から区域整備計画の認定を受けたものです。</w:t>
            </w:r>
          </w:p>
          <w:p w14:paraId="2FB928D8" w14:textId="1FB7FFB8" w:rsidR="00FF5F39" w:rsidRPr="00C45DDF" w:rsidRDefault="00FF5F39" w:rsidP="00C45DDF">
            <w:pPr>
              <w:ind w:firstLineChars="100" w:firstLine="200"/>
              <w:rPr>
                <w:sz w:val="20"/>
                <w:szCs w:val="20"/>
              </w:rPr>
            </w:pPr>
            <w:r w:rsidRPr="00C45DDF">
              <w:rPr>
                <w:rFonts w:hint="eastAsia"/>
                <w:sz w:val="20"/>
                <w:szCs w:val="20"/>
              </w:rPr>
              <w:t>大阪ＩＲは、</w:t>
            </w:r>
            <w:r w:rsidRPr="00C45DDF">
              <w:rPr>
                <w:sz w:val="20"/>
                <w:szCs w:val="20"/>
              </w:rPr>
              <w:t>35年間の長期間にわたる事業であり、安定的かつ継続的な事業運営を確保するため、事業者によるセルフモニタリング、府市によるモニタリング、事業の評価・助言等を行うＩＲ事業評価委員会の設置などにより、モニタリングスキームを構築し、本事業が適切かつ確実に遂行される体制を確保してい</w:t>
            </w:r>
            <w:r w:rsidR="001D5D5E" w:rsidRPr="00C45DDF">
              <w:rPr>
                <w:rFonts w:hint="eastAsia"/>
                <w:sz w:val="20"/>
                <w:szCs w:val="20"/>
              </w:rPr>
              <w:t>ます</w:t>
            </w:r>
            <w:r w:rsidRPr="00C45DDF">
              <w:rPr>
                <w:sz w:val="20"/>
                <w:szCs w:val="20"/>
              </w:rPr>
              <w:t>。</w:t>
            </w:r>
          </w:p>
          <w:p w14:paraId="30ECE8D5" w14:textId="5F402A29" w:rsidR="00FF5F39" w:rsidRPr="00C45DDF" w:rsidRDefault="00FF5F39" w:rsidP="00C45DDF">
            <w:pPr>
              <w:ind w:firstLineChars="100" w:firstLine="200"/>
              <w:rPr>
                <w:sz w:val="20"/>
                <w:szCs w:val="20"/>
              </w:rPr>
            </w:pPr>
            <w:r w:rsidRPr="00C45DDF">
              <w:rPr>
                <w:rFonts w:hint="eastAsia"/>
                <w:sz w:val="20"/>
                <w:szCs w:val="20"/>
              </w:rPr>
              <w:t>また、国においては、ＩＲ整備法において、毎年度、区域整備計画の実施の状況について評価を行うとともに、ＩＲ事業全体の財務の健全性及び公益性確保のため、業務ごとの区分経理、監査人等による監査、財務報告書等の提出など、カジノ事業を含むＩＲ事業に関する規制の枠組みが設けられているところ</w:t>
            </w:r>
            <w:r w:rsidR="001D5D5E" w:rsidRPr="00C45DDF">
              <w:rPr>
                <w:rFonts w:hint="eastAsia"/>
                <w:sz w:val="20"/>
                <w:szCs w:val="20"/>
              </w:rPr>
              <w:t>です</w:t>
            </w:r>
            <w:r w:rsidRPr="00C45DDF">
              <w:rPr>
                <w:rFonts w:hint="eastAsia"/>
                <w:sz w:val="20"/>
                <w:szCs w:val="20"/>
              </w:rPr>
              <w:t>。</w:t>
            </w:r>
          </w:p>
          <w:p w14:paraId="16F0C0A0" w14:textId="508B3D34" w:rsidR="00FF5F39" w:rsidRPr="00C45DDF" w:rsidRDefault="00FF5F39" w:rsidP="00C45DDF">
            <w:pPr>
              <w:ind w:firstLineChars="100" w:firstLine="200"/>
              <w:rPr>
                <w:sz w:val="20"/>
                <w:szCs w:val="20"/>
              </w:rPr>
            </w:pPr>
            <w:r w:rsidRPr="00C45DDF">
              <w:rPr>
                <w:rFonts w:hint="eastAsia"/>
                <w:sz w:val="20"/>
                <w:szCs w:val="20"/>
              </w:rPr>
              <w:t>大阪府・市が構築したモニタリングスキーム、及びＩＲ整備法に基づく国の規制に基づき、適切かつ継続的にモニタリングを実施することにより、ＩＲ事業の確実性や継続性を高めてい</w:t>
            </w:r>
            <w:r w:rsidR="001D5D5E" w:rsidRPr="00C45DDF">
              <w:rPr>
                <w:rFonts w:hint="eastAsia"/>
                <w:sz w:val="20"/>
                <w:szCs w:val="20"/>
              </w:rPr>
              <w:t>きます</w:t>
            </w:r>
            <w:r w:rsidRPr="00C45DDF">
              <w:rPr>
                <w:rFonts w:hint="eastAsia"/>
                <w:sz w:val="20"/>
                <w:szCs w:val="20"/>
              </w:rPr>
              <w:t>。</w:t>
            </w:r>
          </w:p>
        </w:tc>
      </w:tr>
    </w:tbl>
    <w:p w14:paraId="3289DFD6" w14:textId="6B646CCF" w:rsidR="00961D85" w:rsidRDefault="00707389">
      <w:r>
        <w:rPr>
          <w:rFonts w:hint="eastAsia"/>
        </w:rPr>
        <w:t xml:space="preserve">　　</w:t>
      </w:r>
    </w:p>
    <w:sectPr w:rsidR="00961D85" w:rsidSect="000411BF">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78EC" w14:textId="77777777" w:rsidR="00625C1B" w:rsidRDefault="00625C1B" w:rsidP="00E354EB">
      <w:r>
        <w:separator/>
      </w:r>
    </w:p>
  </w:endnote>
  <w:endnote w:type="continuationSeparator" w:id="0">
    <w:p w14:paraId="6EBDC255" w14:textId="77777777" w:rsidR="00625C1B" w:rsidRDefault="00625C1B"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04DA" w14:textId="77777777" w:rsidR="00286797" w:rsidRDefault="002867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472591"/>
      <w:docPartObj>
        <w:docPartGallery w:val="Page Numbers (Bottom of Page)"/>
        <w:docPartUnique/>
      </w:docPartObj>
    </w:sdtPr>
    <w:sdtEndPr/>
    <w:sdtContent>
      <w:p w14:paraId="7019BD86" w14:textId="629F4A40" w:rsidR="008D5C86" w:rsidRDefault="008D5C86">
        <w:pPr>
          <w:pStyle w:val="a7"/>
          <w:jc w:val="center"/>
        </w:pPr>
        <w:r>
          <w:fldChar w:fldCharType="begin"/>
        </w:r>
        <w:r>
          <w:instrText>PAGE   \* MERGEFORMAT</w:instrText>
        </w:r>
        <w:r>
          <w:fldChar w:fldCharType="separate"/>
        </w:r>
        <w:r>
          <w:rPr>
            <w:lang w:val="ja-JP"/>
          </w:rPr>
          <w:t>2</w:t>
        </w:r>
        <w:r>
          <w:fldChar w:fldCharType="end"/>
        </w:r>
      </w:p>
    </w:sdtContent>
  </w:sdt>
  <w:p w14:paraId="063272A5" w14:textId="77777777" w:rsidR="008D5C86" w:rsidRDefault="008D5C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EB2" w14:textId="77777777" w:rsidR="00286797" w:rsidRDefault="002867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FE79" w14:textId="77777777" w:rsidR="00625C1B" w:rsidRDefault="00625C1B" w:rsidP="00E354EB">
      <w:r>
        <w:separator/>
      </w:r>
    </w:p>
  </w:footnote>
  <w:footnote w:type="continuationSeparator" w:id="0">
    <w:p w14:paraId="5DAEB532" w14:textId="77777777" w:rsidR="00625C1B" w:rsidRDefault="00625C1B" w:rsidP="00E3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CDA2" w14:textId="77777777" w:rsidR="00286797" w:rsidRDefault="002867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56AC" w14:textId="666F6A9F" w:rsidR="00286797" w:rsidRPr="00004E5B" w:rsidRDefault="00286797" w:rsidP="00004E5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9FE2" w14:textId="77777777" w:rsidR="00286797" w:rsidRDefault="002867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E14"/>
    <w:multiLevelType w:val="hybridMultilevel"/>
    <w:tmpl w:val="C85ADD68"/>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046415"/>
    <w:multiLevelType w:val="hybridMultilevel"/>
    <w:tmpl w:val="7DC8CDFC"/>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63704"/>
    <w:multiLevelType w:val="hybridMultilevel"/>
    <w:tmpl w:val="B8F07A60"/>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4E5B"/>
    <w:rsid w:val="00006CF1"/>
    <w:rsid w:val="00010B6A"/>
    <w:rsid w:val="0002236A"/>
    <w:rsid w:val="000411BF"/>
    <w:rsid w:val="001C18C0"/>
    <w:rsid w:val="001D5D5E"/>
    <w:rsid w:val="0021127D"/>
    <w:rsid w:val="00216053"/>
    <w:rsid w:val="002818A5"/>
    <w:rsid w:val="00286797"/>
    <w:rsid w:val="00296A9C"/>
    <w:rsid w:val="002A455F"/>
    <w:rsid w:val="002D5EAD"/>
    <w:rsid w:val="0031005A"/>
    <w:rsid w:val="003A4A69"/>
    <w:rsid w:val="003A6765"/>
    <w:rsid w:val="00430544"/>
    <w:rsid w:val="004646D0"/>
    <w:rsid w:val="0049415E"/>
    <w:rsid w:val="004A78E3"/>
    <w:rsid w:val="004D5D1B"/>
    <w:rsid w:val="00517552"/>
    <w:rsid w:val="00571604"/>
    <w:rsid w:val="00576B74"/>
    <w:rsid w:val="0059397C"/>
    <w:rsid w:val="005C22B8"/>
    <w:rsid w:val="005C24BC"/>
    <w:rsid w:val="00614D42"/>
    <w:rsid w:val="00625C1B"/>
    <w:rsid w:val="006432DC"/>
    <w:rsid w:val="0064385A"/>
    <w:rsid w:val="0065291C"/>
    <w:rsid w:val="00663A02"/>
    <w:rsid w:val="006D61B7"/>
    <w:rsid w:val="006F34A4"/>
    <w:rsid w:val="00707389"/>
    <w:rsid w:val="00733983"/>
    <w:rsid w:val="00756E94"/>
    <w:rsid w:val="007865DC"/>
    <w:rsid w:val="008D4858"/>
    <w:rsid w:val="008D5C86"/>
    <w:rsid w:val="008E0859"/>
    <w:rsid w:val="00907949"/>
    <w:rsid w:val="00923E59"/>
    <w:rsid w:val="009309DE"/>
    <w:rsid w:val="00936CB8"/>
    <w:rsid w:val="00937DCA"/>
    <w:rsid w:val="009526E0"/>
    <w:rsid w:val="00961D85"/>
    <w:rsid w:val="0099399C"/>
    <w:rsid w:val="00A00596"/>
    <w:rsid w:val="00A42A69"/>
    <w:rsid w:val="00A5503E"/>
    <w:rsid w:val="00A64B8E"/>
    <w:rsid w:val="00A70A85"/>
    <w:rsid w:val="00AC3563"/>
    <w:rsid w:val="00AE38AC"/>
    <w:rsid w:val="00B17A8E"/>
    <w:rsid w:val="00B961C8"/>
    <w:rsid w:val="00BB2BCC"/>
    <w:rsid w:val="00C122B5"/>
    <w:rsid w:val="00C45DDF"/>
    <w:rsid w:val="00C623B0"/>
    <w:rsid w:val="00CB40DF"/>
    <w:rsid w:val="00CF1764"/>
    <w:rsid w:val="00CF7E4A"/>
    <w:rsid w:val="00D6120D"/>
    <w:rsid w:val="00D77E4B"/>
    <w:rsid w:val="00E354EB"/>
    <w:rsid w:val="00E41B40"/>
    <w:rsid w:val="00E43C32"/>
    <w:rsid w:val="00EE4CD7"/>
    <w:rsid w:val="00EE5983"/>
    <w:rsid w:val="00EF4FC6"/>
    <w:rsid w:val="00EF6EDC"/>
    <w:rsid w:val="00F25D7C"/>
    <w:rsid w:val="00F81434"/>
    <w:rsid w:val="00FD2F70"/>
    <w:rsid w:val="00FE2232"/>
    <w:rsid w:val="00FF1064"/>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paragraph" w:styleId="a9">
    <w:name w:val="List Paragraph"/>
    <w:basedOn w:val="a"/>
    <w:uiPriority w:val="34"/>
    <w:qFormat/>
    <w:rsid w:val="00FF5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森脇　良太</cp:lastModifiedBy>
  <cp:revision>13</cp:revision>
  <cp:lastPrinted>2025-02-07T08:29:00Z</cp:lastPrinted>
  <dcterms:created xsi:type="dcterms:W3CDTF">2025-02-04T01:04:00Z</dcterms:created>
  <dcterms:modified xsi:type="dcterms:W3CDTF">2025-02-07T09:09:00Z</dcterms:modified>
</cp:coreProperties>
</file>