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29999" w14:textId="795FA52E"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14:paraId="32B590BD" w14:textId="78723039"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14:paraId="50E52A72" w14:textId="77777777" w:rsidTr="00BA49D4">
        <w:trPr>
          <w:jc w:val="center"/>
        </w:trPr>
        <w:tc>
          <w:tcPr>
            <w:tcW w:w="9477" w:type="dxa"/>
            <w:gridSpan w:val="5"/>
            <w:tcBorders>
              <w:top w:val="single" w:sz="4" w:space="0" w:color="000000"/>
              <w:left w:val="single" w:sz="4" w:space="0" w:color="000000"/>
              <w:bottom w:val="nil"/>
              <w:right w:val="single" w:sz="4" w:space="0" w:color="000000"/>
            </w:tcBorders>
          </w:tcPr>
          <w:p w14:paraId="7A7E6918" w14:textId="245D739F"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14:paraId="5E92A4AB" w14:textId="7B1FD022"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14:paraId="3AC42424" w14:textId="77777777"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14:paraId="386D69F9" w14:textId="77777777"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14:paraId="29BDD226" w14:textId="5AE3F724" w:rsidR="000542D1" w:rsidRDefault="000542D1" w:rsidP="000542D1">
            <w:pPr>
              <w:ind w:firstLineChars="196" w:firstLine="435"/>
              <w:rPr>
                <w:rFonts w:ascii="ＭＳ 明朝" w:hAnsi="ＭＳ 明朝"/>
                <w:sz w:val="22"/>
                <w:szCs w:val="22"/>
              </w:rPr>
            </w:pPr>
            <w:r>
              <w:rPr>
                <w:rFonts w:ascii="ＭＳ 明朝" w:hAnsi="ＭＳ 明朝" w:hint="eastAsia"/>
                <w:sz w:val="22"/>
                <w:szCs w:val="22"/>
              </w:rPr>
              <w:t>大阪府知事　様</w:t>
            </w:r>
          </w:p>
          <w:p w14:paraId="768D12DE" w14:textId="77777777" w:rsidR="000542D1" w:rsidRPr="00CD2C73" w:rsidRDefault="000542D1" w:rsidP="000542D1">
            <w:pPr>
              <w:ind w:firstLineChars="196" w:firstLine="435"/>
              <w:rPr>
                <w:rFonts w:ascii="ＭＳ 明朝" w:hAnsi="ＭＳ 明朝"/>
                <w:sz w:val="22"/>
                <w:szCs w:val="22"/>
              </w:rPr>
            </w:pPr>
          </w:p>
          <w:p w14:paraId="08B80F1C" w14:textId="76D2B5D8" w:rsidR="000542D1" w:rsidRDefault="001F14AE" w:rsidP="000542D1">
            <w:pPr>
              <w:wordWrap w:val="0"/>
              <w:ind w:rightChars="5" w:right="11"/>
              <w:jc w:val="right"/>
              <w:rPr>
                <w:rFonts w:ascii="ＭＳ 明朝" w:hAnsi="ＭＳ 明朝"/>
                <w:sz w:val="22"/>
                <w:szCs w:val="22"/>
              </w:rPr>
            </w:pPr>
            <w:r>
              <w:rPr>
                <w:rFonts w:ascii="ＭＳ 明朝" w:hAnsi="ＭＳ 明朝" w:hint="eastAsia"/>
                <w:sz w:val="22"/>
                <w:szCs w:val="22"/>
              </w:rPr>
              <w:t>報告</w:t>
            </w:r>
            <w:r w:rsidR="000542D1">
              <w:rPr>
                <w:rFonts w:ascii="ＭＳ 明朝" w:hAnsi="ＭＳ 明朝" w:hint="eastAsia"/>
                <w:sz w:val="22"/>
                <w:szCs w:val="22"/>
              </w:rPr>
              <w:t xml:space="preserve">者　住所　　　　　　　　　　　　　　　　</w:t>
            </w:r>
          </w:p>
          <w:p w14:paraId="18285E32" w14:textId="277F8E5E" w:rsidR="000542D1"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4B51AD">
              <w:rPr>
                <w:rFonts w:ascii="ＭＳ 明朝" w:hAnsi="ＭＳ 明朝" w:hint="eastAsia"/>
              </w:rPr>
              <w:t xml:space="preserve">　</w:t>
            </w:r>
          </w:p>
          <w:p w14:paraId="5FB26068" w14:textId="77777777"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24254079" w14:textId="77777777" w:rsidR="002609E3" w:rsidRPr="00AF0466" w:rsidRDefault="002609E3" w:rsidP="002609E3">
            <w:pPr>
              <w:suppressAutoHyphens/>
              <w:kinsoku w:val="0"/>
              <w:wordWrap w:val="0"/>
              <w:autoSpaceDE w:val="0"/>
              <w:autoSpaceDN w:val="0"/>
              <w:jc w:val="left"/>
              <w:rPr>
                <w:rFonts w:ascii="ＭＳ 明朝" w:hAnsi="ＭＳ 明朝"/>
              </w:rPr>
            </w:pPr>
          </w:p>
          <w:p w14:paraId="70BAFF68" w14:textId="09150BCE"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14:paraId="67D89B5C" w14:textId="77777777" w:rsidTr="00BA49D4">
        <w:trPr>
          <w:trHeight w:val="567"/>
          <w:jc w:val="center"/>
        </w:trPr>
        <w:tc>
          <w:tcPr>
            <w:tcW w:w="212" w:type="dxa"/>
            <w:vMerge w:val="restart"/>
            <w:tcBorders>
              <w:top w:val="nil"/>
              <w:left w:val="single" w:sz="4" w:space="0" w:color="000000"/>
              <w:right w:val="single" w:sz="4" w:space="0" w:color="000000"/>
            </w:tcBorders>
          </w:tcPr>
          <w:p w14:paraId="260A766D" w14:textId="77777777"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7A6DF947" w14:textId="65787B5A"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14:paraId="6801162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14:paraId="70BB988F"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A1C73E3" w14:textId="77777777" w:rsidTr="00BA49D4">
        <w:trPr>
          <w:trHeight w:val="567"/>
          <w:jc w:val="center"/>
        </w:trPr>
        <w:tc>
          <w:tcPr>
            <w:tcW w:w="212" w:type="dxa"/>
            <w:vMerge/>
            <w:tcBorders>
              <w:left w:val="single" w:sz="4" w:space="0" w:color="000000"/>
              <w:right w:val="single" w:sz="4" w:space="0" w:color="000000"/>
            </w:tcBorders>
          </w:tcPr>
          <w:p w14:paraId="7BCD0A89"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041A1C1D" w14:textId="0F5B990B"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14:paraId="78B53F33"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C469058"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60441115" w14:textId="77777777" w:rsidTr="00BA49D4">
        <w:trPr>
          <w:trHeight w:val="567"/>
          <w:jc w:val="center"/>
        </w:trPr>
        <w:tc>
          <w:tcPr>
            <w:tcW w:w="212" w:type="dxa"/>
            <w:vMerge/>
            <w:tcBorders>
              <w:left w:val="single" w:sz="4" w:space="0" w:color="000000"/>
              <w:right w:val="single" w:sz="4" w:space="0" w:color="000000"/>
            </w:tcBorders>
          </w:tcPr>
          <w:p w14:paraId="50967EDD"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388DD55A" w14:textId="4D358E4D"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14:paraId="343EBB3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65A0AE1A"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1389BE1" w14:textId="77777777" w:rsidTr="00BA49D4">
        <w:trPr>
          <w:trHeight w:val="794"/>
          <w:jc w:val="center"/>
        </w:trPr>
        <w:tc>
          <w:tcPr>
            <w:tcW w:w="212" w:type="dxa"/>
            <w:vMerge/>
            <w:tcBorders>
              <w:left w:val="single" w:sz="4" w:space="0" w:color="000000"/>
              <w:right w:val="single" w:sz="4" w:space="0" w:color="000000"/>
            </w:tcBorders>
          </w:tcPr>
          <w:p w14:paraId="2E503336"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14:paraId="55C97DA0" w14:textId="255E0D91"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14:paraId="2DE54941"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0380C31"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14:paraId="6D08BA9B" w14:textId="77777777" w:rsidTr="00BA49D4">
        <w:trPr>
          <w:trHeight w:val="1531"/>
          <w:jc w:val="center"/>
        </w:trPr>
        <w:tc>
          <w:tcPr>
            <w:tcW w:w="212" w:type="dxa"/>
            <w:vMerge/>
            <w:tcBorders>
              <w:left w:val="single" w:sz="4" w:space="0" w:color="000000"/>
              <w:right w:val="single" w:sz="4" w:space="0" w:color="000000"/>
            </w:tcBorders>
          </w:tcPr>
          <w:p w14:paraId="43C0C5AE"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14:paraId="556C6DDD" w14:textId="41D7EC36"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14:paraId="3BBFA654" w14:textId="5958AE50"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14:paraId="425CC5B3" w14:textId="77777777"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C192E0E" w14:textId="77777777"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14:paraId="6EF573DA" w14:textId="77777777" w:rsidTr="00BA49D4">
        <w:trPr>
          <w:trHeight w:val="1531"/>
          <w:jc w:val="center"/>
        </w:trPr>
        <w:tc>
          <w:tcPr>
            <w:tcW w:w="212" w:type="dxa"/>
            <w:vMerge/>
            <w:tcBorders>
              <w:left w:val="single" w:sz="4" w:space="0" w:color="000000"/>
              <w:right w:val="single" w:sz="4" w:space="0" w:color="000000"/>
            </w:tcBorders>
          </w:tcPr>
          <w:p w14:paraId="5153C4A5"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14:paraId="15ABC490" w14:textId="77777777"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14:paraId="79A07AE3" w14:textId="7020FE59"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14:paraId="1C97479C" w14:textId="52413DC5"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2A2E9EF" w14:textId="77777777"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14:paraId="37F6B70F" w14:textId="77777777" w:rsidTr="00BA49D4">
        <w:trPr>
          <w:trHeight w:val="1531"/>
          <w:jc w:val="center"/>
        </w:trPr>
        <w:tc>
          <w:tcPr>
            <w:tcW w:w="212" w:type="dxa"/>
            <w:vMerge/>
            <w:tcBorders>
              <w:left w:val="single" w:sz="4" w:space="0" w:color="000000"/>
              <w:bottom w:val="nil"/>
              <w:right w:val="single" w:sz="4" w:space="0" w:color="000000"/>
            </w:tcBorders>
          </w:tcPr>
          <w:p w14:paraId="13C8316E" w14:textId="77777777"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14:paraId="021CF8D8" w14:textId="06E32ECC"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14:paraId="2C832C92"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14:paraId="3F519610" w14:textId="77777777"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14:paraId="4AF8599E" w14:textId="77777777" w:rsidTr="00BA49D4">
        <w:trPr>
          <w:jc w:val="center"/>
        </w:trPr>
        <w:tc>
          <w:tcPr>
            <w:tcW w:w="9477" w:type="dxa"/>
            <w:gridSpan w:val="5"/>
            <w:tcBorders>
              <w:top w:val="nil"/>
              <w:left w:val="single" w:sz="4" w:space="0" w:color="000000"/>
              <w:bottom w:val="single" w:sz="4" w:space="0" w:color="000000"/>
              <w:right w:val="single" w:sz="4" w:space="0" w:color="000000"/>
            </w:tcBorders>
          </w:tcPr>
          <w:p w14:paraId="0ED98CB9" w14:textId="77777777"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14:paraId="1A84DB6A" w14:textId="77777777" w:rsidR="0039279C" w:rsidRDefault="0039279C" w:rsidP="009B4A05">
      <w:pPr>
        <w:overflowPunct/>
        <w:adjustRightInd/>
        <w:rPr>
          <w:rFonts w:ascii="ＭＳ 明朝" w:cs="Times New Roman"/>
          <w:spacing w:val="2"/>
        </w:rPr>
      </w:pPr>
    </w:p>
    <w:bookmarkEnd w:id="1"/>
    <w:bookmarkEnd w:id="2"/>
    <w:p w14:paraId="75E23863" w14:textId="527FBB03"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3" w:name="OLE_LINK2"/>
      <w:bookmarkStart w:id="4"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14:paraId="7268D8E9" w14:textId="77777777"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029A27BA" w14:textId="6F380F04"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EF2C47D" w14:textId="77777777"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14:paraId="78609B83" w14:textId="77777777"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3B5649F9" w14:textId="70FF8CE3"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14:paraId="1ECC5BCE" w14:textId="77777777" w:rsidTr="00BA49D4">
        <w:trPr>
          <w:trHeight w:val="11934"/>
          <w:jc w:val="center"/>
        </w:trPr>
        <w:tc>
          <w:tcPr>
            <w:tcW w:w="9313" w:type="dxa"/>
            <w:gridSpan w:val="2"/>
            <w:tcBorders>
              <w:top w:val="single" w:sz="4" w:space="0" w:color="000000"/>
              <w:left w:val="single" w:sz="4" w:space="0" w:color="000000"/>
              <w:right w:val="single" w:sz="4" w:space="0" w:color="auto"/>
            </w:tcBorders>
          </w:tcPr>
          <w:p w14:paraId="2C178EC1" w14:textId="77777777"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tbl>
    <w:p w14:paraId="314A13C7" w14:textId="7D0840FA" w:rsidR="000542D1" w:rsidRPr="00F6520D" w:rsidRDefault="000542D1" w:rsidP="006D69BC">
      <w:pPr>
        <w:ind w:leftChars="20" w:left="466" w:hangingChars="200" w:hanging="424"/>
        <w:rPr>
          <w:rFonts w:ascii="ＭＳ 明朝" w:hAnsi="ＭＳ 明朝"/>
        </w:rPr>
      </w:pPr>
      <w:bookmarkStart w:id="5" w:name="HIT_ROW11"/>
      <w:bookmarkStart w:id="6" w:name="_GoBack"/>
      <w:bookmarkEnd w:id="3"/>
      <w:bookmarkEnd w:id="4"/>
      <w:bookmarkEnd w:id="5"/>
      <w:bookmarkEnd w:id="6"/>
    </w:p>
    <w:p w14:paraId="7818C2C3" w14:textId="7F140B00" w:rsidR="00085732" w:rsidRDefault="00085732" w:rsidP="000542D1">
      <w:pPr>
        <w:overflowPunct/>
        <w:adjustRightInd/>
        <w:spacing w:line="286" w:lineRule="exact"/>
        <w:ind w:firstLineChars="50" w:firstLine="108"/>
        <w:rPr>
          <w:rFonts w:ascii="ＭＳ 明朝" w:cs="Times New Roman"/>
          <w:spacing w:val="2"/>
        </w:rPr>
      </w:pPr>
    </w:p>
    <w:p w14:paraId="3EF6FCF4" w14:textId="24530385" w:rsidR="000542D1" w:rsidRDefault="000542D1" w:rsidP="000542D1">
      <w:pPr>
        <w:overflowPunct/>
        <w:adjustRightInd/>
        <w:spacing w:line="286" w:lineRule="exact"/>
        <w:ind w:firstLineChars="50" w:firstLine="108"/>
        <w:rPr>
          <w:rFonts w:ascii="ＭＳ 明朝" w:cs="Times New Roman"/>
          <w:spacing w:val="2"/>
        </w:rPr>
      </w:pPr>
    </w:p>
    <w:p w14:paraId="1FBAC7DB" w14:textId="50D4079E"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71351648" w14:textId="1CA4B8DA"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14:paraId="1BC2B648" w14:textId="77777777" w:rsidTr="0063294C">
        <w:trPr>
          <w:trHeight w:val="510"/>
        </w:trPr>
        <w:tc>
          <w:tcPr>
            <w:tcW w:w="851" w:type="dxa"/>
            <w:shd w:val="clear" w:color="auto" w:fill="auto"/>
            <w:vAlign w:val="center"/>
          </w:tcPr>
          <w:p w14:paraId="4F62BDAD" w14:textId="77777777"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14:paraId="1A13742F" w14:textId="77777777"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14:paraId="775CFCD9" w14:textId="2813C998"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14:paraId="5CDCA0E3" w14:textId="77777777" w:rsidTr="00BA49D4">
        <w:trPr>
          <w:trHeight w:val="510"/>
        </w:trPr>
        <w:tc>
          <w:tcPr>
            <w:tcW w:w="851" w:type="dxa"/>
            <w:shd w:val="clear" w:color="auto" w:fill="auto"/>
            <w:vAlign w:val="center"/>
          </w:tcPr>
          <w:p w14:paraId="17D7A766" w14:textId="120BEB89"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14:paraId="473DB338" w14:textId="7F331567"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14:paraId="251149E8" w14:textId="77777777"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500FE96B" w14:textId="77777777" w:rsidTr="0063294C">
        <w:trPr>
          <w:trHeight w:val="510"/>
        </w:trPr>
        <w:tc>
          <w:tcPr>
            <w:tcW w:w="851" w:type="dxa"/>
            <w:shd w:val="clear" w:color="auto" w:fill="auto"/>
            <w:vAlign w:val="center"/>
          </w:tcPr>
          <w:p w14:paraId="17150A4C" w14:textId="0E8EF447"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14:paraId="1D38B351" w14:textId="02975CF4"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14:paraId="7F731E1E" w14:textId="4B9BA47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14:paraId="7AC80193" w14:textId="0798DF2B"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14:paraId="2343FCA0" w14:textId="7B675CEF"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14:paraId="71A8F968" w14:textId="77777777" w:rsidTr="0063294C">
        <w:trPr>
          <w:trHeight w:val="510"/>
        </w:trPr>
        <w:tc>
          <w:tcPr>
            <w:tcW w:w="851" w:type="dxa"/>
            <w:shd w:val="clear" w:color="auto" w:fill="auto"/>
            <w:vAlign w:val="center"/>
          </w:tcPr>
          <w:p w14:paraId="0D7A7C40" w14:textId="1ABBB69D"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14:paraId="2EFD6D95" w14:textId="46435112"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14:paraId="6EA02FB3" w14:textId="2E7A242C"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5472A30C" w14:textId="40814D0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14:paraId="4E1ACB14" w14:textId="30DF8DFD"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14:paraId="40623E5A" w14:textId="77777777" w:rsidTr="0063294C">
        <w:trPr>
          <w:trHeight w:val="510"/>
        </w:trPr>
        <w:tc>
          <w:tcPr>
            <w:tcW w:w="851" w:type="dxa"/>
            <w:shd w:val="clear" w:color="auto" w:fill="auto"/>
            <w:vAlign w:val="center"/>
          </w:tcPr>
          <w:p w14:paraId="7A750669" w14:textId="747CD685"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14:paraId="7683DF41" w14:textId="03E14DA3"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14:paraId="460D889F" w14:textId="37DCBB0D"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14:paraId="103F08A4" w14:textId="77777777"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14:paraId="11449071" w14:textId="27944512"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14:paraId="0F5C4318" w14:textId="47091902"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14:paraId="063717E0" w14:textId="77777777" w:rsidTr="0063294C">
        <w:trPr>
          <w:trHeight w:val="510"/>
        </w:trPr>
        <w:tc>
          <w:tcPr>
            <w:tcW w:w="851" w:type="dxa"/>
            <w:shd w:val="clear" w:color="auto" w:fill="auto"/>
            <w:vAlign w:val="center"/>
          </w:tcPr>
          <w:p w14:paraId="13FEE827" w14:textId="2E82AC2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14:paraId="351CD166" w14:textId="4AB83E77"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14:paraId="3650C7CB" w14:textId="3F1452AF"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14:paraId="306E44DA" w14:textId="15825C00"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14:paraId="01E4D6A5" w14:textId="78C9B0E9"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14:paraId="3241EAE0" w14:textId="7C654A28"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14:paraId="011E0BAB" w14:textId="45AB5E1C"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14:paraId="68F88434" w14:textId="3E3E88D3"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14:paraId="331AE884" w14:textId="77777777"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14:paraId="0E4B3E57" w14:textId="6872D3B7"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w:t>
            </w:r>
            <w:r w:rsidRPr="00F94BE1">
              <w:rPr>
                <w:rFonts w:ascii="ＭＳ 明朝" w:hAnsi="ＭＳ 明朝" w:cs="ＭＳ明朝" w:hint="eastAsia"/>
                <w:color w:val="auto"/>
                <w:spacing w:val="-6"/>
                <w:sz w:val="20"/>
                <w:szCs w:val="20"/>
              </w:rPr>
              <w:lastRenderedPageBreak/>
              <w:t>る土地において、目標土壌溶出量を超える汚染状態にある土壌を目標土壌溶出量を超えない汚染状態にある土壌にする方法を変更した場合にあっては、変更後の方法</w:t>
            </w:r>
          </w:p>
        </w:tc>
      </w:tr>
      <w:tr w:rsidR="00F94BE1" w:rsidRPr="003A1372" w14:paraId="0FE33804" w14:textId="77777777" w:rsidTr="0063294C">
        <w:trPr>
          <w:trHeight w:val="510"/>
        </w:trPr>
        <w:tc>
          <w:tcPr>
            <w:tcW w:w="851" w:type="dxa"/>
            <w:shd w:val="clear" w:color="auto" w:fill="auto"/>
            <w:vAlign w:val="center"/>
          </w:tcPr>
          <w:p w14:paraId="0A9B9A89" w14:textId="74472435"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2977" w:type="dxa"/>
            <w:shd w:val="clear" w:color="auto" w:fill="auto"/>
            <w:vAlign w:val="center"/>
          </w:tcPr>
          <w:p w14:paraId="0E84290D" w14:textId="2162CED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14:paraId="65535F45" w14:textId="537909E3"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14:paraId="679B0336" w14:textId="77777777" w:rsidTr="0063294C">
        <w:trPr>
          <w:trHeight w:val="510"/>
        </w:trPr>
        <w:tc>
          <w:tcPr>
            <w:tcW w:w="851" w:type="dxa"/>
            <w:shd w:val="clear" w:color="auto" w:fill="auto"/>
            <w:vAlign w:val="center"/>
          </w:tcPr>
          <w:p w14:paraId="1AE8BC16" w14:textId="31B0EE5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14:paraId="6D84482B" w14:textId="2B1568C9"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14:paraId="0CFC9E5B" w14:textId="1845C33D"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14:paraId="1B8364D8" w14:textId="1C5083C0"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14:paraId="4A70CB84"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14:paraId="4C184616" w14:textId="223E4885"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14:paraId="5A458658" w14:textId="2F98FA8C"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14:paraId="339E89F5"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3A63FE29"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14:paraId="06D191F6" w14:textId="409BF71E"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14:paraId="3910684D" w14:textId="77777777" w:rsidTr="00BA49D4">
        <w:trPr>
          <w:trHeight w:val="510"/>
        </w:trPr>
        <w:tc>
          <w:tcPr>
            <w:tcW w:w="851" w:type="dxa"/>
            <w:shd w:val="clear" w:color="auto" w:fill="auto"/>
            <w:vAlign w:val="center"/>
          </w:tcPr>
          <w:p w14:paraId="40D7139F" w14:textId="3E412BA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14:paraId="16188EE9" w14:textId="26CC89E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14:paraId="24DAD083" w14:textId="4FC1A547"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21450B37" w14:textId="77777777" w:rsidTr="00BA49D4">
        <w:trPr>
          <w:trHeight w:val="510"/>
        </w:trPr>
        <w:tc>
          <w:tcPr>
            <w:tcW w:w="851" w:type="dxa"/>
            <w:shd w:val="clear" w:color="auto" w:fill="auto"/>
            <w:vAlign w:val="center"/>
          </w:tcPr>
          <w:p w14:paraId="457E1688" w14:textId="34F56C2E"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14:paraId="113340F7" w14:textId="1E92FFF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14:paraId="76500A3C" w14:textId="458BA964"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2C31D26E" w14:textId="77777777" w:rsidTr="00BA49D4">
        <w:trPr>
          <w:trHeight w:val="510"/>
        </w:trPr>
        <w:tc>
          <w:tcPr>
            <w:tcW w:w="851" w:type="dxa"/>
            <w:shd w:val="clear" w:color="auto" w:fill="auto"/>
            <w:vAlign w:val="center"/>
          </w:tcPr>
          <w:p w14:paraId="70CC038F" w14:textId="0ACD59B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14:paraId="5DB18932" w14:textId="6386109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14:paraId="7EE933ED" w14:textId="147A0BE6"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679A42CC" w14:textId="77777777" w:rsidTr="00BA49D4">
        <w:trPr>
          <w:trHeight w:val="510"/>
        </w:trPr>
        <w:tc>
          <w:tcPr>
            <w:tcW w:w="851" w:type="dxa"/>
            <w:shd w:val="clear" w:color="auto" w:fill="auto"/>
            <w:vAlign w:val="center"/>
          </w:tcPr>
          <w:p w14:paraId="0E62844E" w14:textId="2F00D49D"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14:paraId="747A5C9B" w14:textId="30BB57B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14:paraId="584D5AE8" w14:textId="0447BCED"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14:paraId="76543DDC" w14:textId="77777777"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11306" w14:textId="77777777" w:rsidR="002836F3" w:rsidRDefault="002836F3">
      <w:r>
        <w:separator/>
      </w:r>
    </w:p>
  </w:endnote>
  <w:endnote w:type="continuationSeparator" w:id="0">
    <w:p w14:paraId="6183A009" w14:textId="77777777" w:rsidR="002836F3" w:rsidRDefault="002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73F1" w14:textId="77777777" w:rsidR="00AA37C9" w:rsidRDefault="00AA37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23BC4" w14:textId="77777777" w:rsidR="00AA37C9" w:rsidRDefault="00AA37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A15C" w14:textId="77777777" w:rsidR="00AA37C9" w:rsidRDefault="00AA37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574F4" w14:textId="77777777" w:rsidR="002836F3" w:rsidRDefault="002836F3">
      <w:r>
        <w:rPr>
          <w:rFonts w:ascii="ＭＳ 明朝" w:cs="Times New Roman"/>
          <w:color w:val="auto"/>
          <w:sz w:val="2"/>
          <w:szCs w:val="2"/>
        </w:rPr>
        <w:continuationSeparator/>
      </w:r>
    </w:p>
  </w:footnote>
  <w:footnote w:type="continuationSeparator" w:id="0">
    <w:p w14:paraId="30A31AB2" w14:textId="77777777" w:rsidR="002836F3" w:rsidRDefault="0028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8B47" w14:textId="77777777" w:rsidR="00AA37C9" w:rsidRDefault="00AA37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5188" w14:textId="77777777" w:rsidR="00AA37C9" w:rsidRDefault="00AA37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56390" w14:textId="77777777" w:rsidR="00AA37C9" w:rsidRDefault="00AA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46D0"/>
    <w:rsid w:val="00044C7F"/>
    <w:rsid w:val="000542D1"/>
    <w:rsid w:val="00085732"/>
    <w:rsid w:val="00091C1D"/>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609D4"/>
    <w:rsid w:val="0039279C"/>
    <w:rsid w:val="0040092D"/>
    <w:rsid w:val="0042560D"/>
    <w:rsid w:val="004B51AD"/>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C5EDF"/>
    <w:rsid w:val="008D1D63"/>
    <w:rsid w:val="008E4DCC"/>
    <w:rsid w:val="0091246D"/>
    <w:rsid w:val="0091794F"/>
    <w:rsid w:val="009802BF"/>
    <w:rsid w:val="009A16CF"/>
    <w:rsid w:val="009B4A05"/>
    <w:rsid w:val="009F0A40"/>
    <w:rsid w:val="009F65EC"/>
    <w:rsid w:val="00A03CA7"/>
    <w:rsid w:val="00A076EB"/>
    <w:rsid w:val="00AA37C9"/>
    <w:rsid w:val="00AF0466"/>
    <w:rsid w:val="00BA49D4"/>
    <w:rsid w:val="00C23726"/>
    <w:rsid w:val="00C60D87"/>
    <w:rsid w:val="00D03EEC"/>
    <w:rsid w:val="00D134CD"/>
    <w:rsid w:val="00D85460"/>
    <w:rsid w:val="00DB6DB1"/>
    <w:rsid w:val="00E4768B"/>
    <w:rsid w:val="00E514FC"/>
    <w:rsid w:val="00E66AEC"/>
    <w:rsid w:val="00EB7FB0"/>
    <w:rsid w:val="00EF6050"/>
    <w:rsid w:val="00F16CF8"/>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B0C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2248</Words>
  <Characters>222</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2021-03-22T02:42:00Z</dcterms:created>
  <dcterms:modified xsi:type="dcterms:W3CDTF">2021-03-22T02:42:00Z</dcterms:modified>
</cp:coreProperties>
</file>