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0751" w14:textId="550BA147" w:rsidR="00D51885" w:rsidRDefault="00D51885" w:rsidP="002D01EB">
      <w:pPr>
        <w:spacing w:line="400" w:lineRule="exact"/>
        <w:jc w:val="left"/>
        <w:rPr>
          <w:rFonts w:ascii="ＭＳ ゴシック" w:eastAsia="ＭＳ ゴシック" w:hAnsi="ＭＳ ゴシック"/>
          <w:bCs/>
          <w:sz w:val="36"/>
          <w:szCs w:val="36"/>
        </w:rPr>
      </w:pPr>
    </w:p>
    <w:p w14:paraId="298A614E" w14:textId="53C0B4E2" w:rsidR="002D01EB" w:rsidRDefault="002D01EB" w:rsidP="002D01EB">
      <w:pPr>
        <w:spacing w:line="400" w:lineRule="exact"/>
        <w:jc w:val="left"/>
        <w:rPr>
          <w:rFonts w:ascii="ＭＳ ゴシック" w:eastAsia="ＭＳ ゴシック" w:hAnsi="ＭＳ ゴシック"/>
          <w:bCs/>
          <w:sz w:val="36"/>
          <w:szCs w:val="36"/>
        </w:rPr>
      </w:pPr>
    </w:p>
    <w:p w14:paraId="22E83378" w14:textId="77777777" w:rsidR="00037F24" w:rsidRDefault="00037F24" w:rsidP="002D01EB">
      <w:pPr>
        <w:spacing w:line="400" w:lineRule="exact"/>
        <w:jc w:val="left"/>
        <w:rPr>
          <w:rFonts w:ascii="ＭＳ ゴシック" w:eastAsia="ＭＳ ゴシック" w:hAnsi="ＭＳ ゴシック"/>
          <w:bCs/>
          <w:sz w:val="36"/>
          <w:szCs w:val="36"/>
        </w:rPr>
      </w:pPr>
    </w:p>
    <w:p w14:paraId="30D293CA" w14:textId="0701919E" w:rsidR="002D01EB" w:rsidRPr="001869E3" w:rsidRDefault="008D1F67" w:rsidP="002D01EB">
      <w:pPr>
        <w:spacing w:line="400" w:lineRule="exact"/>
        <w:jc w:val="center"/>
        <w:rPr>
          <w:rFonts w:ascii="ＭＳ ゴシック" w:eastAsia="ＭＳ ゴシック" w:hAnsi="ＭＳ ゴシック"/>
          <w:b/>
          <w:sz w:val="40"/>
          <w:szCs w:val="40"/>
        </w:rPr>
      </w:pPr>
      <w:r w:rsidRPr="008D1F67">
        <w:rPr>
          <w:rFonts w:asciiTheme="majorEastAsia" w:eastAsiaTheme="majorEastAsia" w:hAnsiTheme="majorEastAsia" w:hint="eastAsia"/>
          <w:b/>
          <w:sz w:val="40"/>
          <w:szCs w:val="40"/>
        </w:rPr>
        <w:t>地方一般財源総額の確保について</w:t>
      </w:r>
      <w:r w:rsidR="00AC3462">
        <w:rPr>
          <w:rFonts w:asciiTheme="majorEastAsia" w:eastAsiaTheme="majorEastAsia" w:hAnsiTheme="majorEastAsia" w:hint="eastAsia"/>
          <w:b/>
          <w:sz w:val="40"/>
          <w:szCs w:val="40"/>
        </w:rPr>
        <w:t>の提言</w:t>
      </w: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4CA798FA"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15522F">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(202</w:t>
      </w:r>
      <w:r w:rsidR="0015522F">
        <w:rPr>
          <w:rFonts w:ascii="ＭＳ ゴシック" w:eastAsia="ＭＳ ゴシック" w:hAnsi="ＭＳ ゴシック" w:hint="eastAsia"/>
          <w:b/>
          <w:sz w:val="40"/>
          <w:szCs w:val="40"/>
        </w:rPr>
        <w:t>5</w:t>
      </w:r>
      <w:r w:rsidR="002D01EB">
        <w:rPr>
          <w:rFonts w:ascii="ＭＳ ゴシック" w:eastAsia="ＭＳ ゴシック" w:hAnsi="ＭＳ ゴシック" w:hint="eastAsia"/>
          <w:b/>
          <w:sz w:val="40"/>
          <w:szCs w:val="40"/>
        </w:rPr>
        <w:t>年</w:t>
      </w:r>
      <w:r w:rsidR="00D51885">
        <w:rPr>
          <w:rFonts w:ascii="ＭＳ ゴシック" w:eastAsia="ＭＳ ゴシック" w:hAnsi="ＭＳ ゴシック" w:hint="eastAsia"/>
          <w:b/>
          <w:sz w:val="40"/>
          <w:szCs w:val="40"/>
        </w:rPr>
        <w:t>)</w:t>
      </w:r>
      <w:r w:rsidR="0015522F">
        <w:rPr>
          <w:rFonts w:ascii="ＭＳ ゴシック" w:eastAsia="ＭＳ ゴシック" w:hAnsi="ＭＳ ゴシック" w:hint="eastAsia"/>
          <w:b/>
          <w:sz w:val="40"/>
          <w:szCs w:val="40"/>
        </w:rPr>
        <w:t xml:space="preserve">　</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77777777" w:rsidR="00EB40E1" w:rsidRDefault="00EB40E1" w:rsidP="00AB2541">
      <w:pPr>
        <w:spacing w:line="400" w:lineRule="exact"/>
        <w:jc w:val="center"/>
        <w:rPr>
          <w:rFonts w:asciiTheme="majorEastAsia" w:eastAsiaTheme="majorEastAsia" w:hAnsiTheme="majorEastAsia"/>
          <w:b/>
          <w:sz w:val="28"/>
        </w:rPr>
      </w:pPr>
    </w:p>
    <w:p w14:paraId="6C89C923" w14:textId="2868DDAC" w:rsidR="00AB2541" w:rsidRDefault="008D1F67" w:rsidP="008D1F67">
      <w:pPr>
        <w:snapToGrid w:val="0"/>
        <w:spacing w:line="360" w:lineRule="exact"/>
        <w:ind w:firstLineChars="100" w:firstLine="282"/>
        <w:jc w:val="center"/>
        <w:rPr>
          <w:rFonts w:asciiTheme="majorEastAsia" w:eastAsiaTheme="majorEastAsia" w:hAnsiTheme="majorEastAsia"/>
          <w:b/>
          <w:sz w:val="28"/>
        </w:rPr>
      </w:pPr>
      <w:r w:rsidRPr="008D1F67">
        <w:rPr>
          <w:rFonts w:asciiTheme="majorEastAsia" w:eastAsiaTheme="majorEastAsia" w:hAnsiTheme="majorEastAsia" w:hint="eastAsia"/>
          <w:b/>
          <w:sz w:val="28"/>
        </w:rPr>
        <w:lastRenderedPageBreak/>
        <w:t>地方一般財源総額の確保について</w:t>
      </w:r>
      <w:r w:rsidR="003C1211">
        <w:rPr>
          <w:rFonts w:asciiTheme="majorEastAsia" w:eastAsiaTheme="majorEastAsia" w:hAnsiTheme="majorEastAsia" w:hint="eastAsia"/>
          <w:b/>
          <w:sz w:val="28"/>
        </w:rPr>
        <w:t>の提言</w:t>
      </w:r>
    </w:p>
    <w:p w14:paraId="726FB611" w14:textId="77777777" w:rsidR="008D1F67" w:rsidRPr="00A10B99" w:rsidRDefault="008D1F67" w:rsidP="008D1F67">
      <w:pPr>
        <w:snapToGrid w:val="0"/>
        <w:spacing w:line="360" w:lineRule="exact"/>
        <w:ind w:firstLineChars="100" w:firstLine="241"/>
        <w:jc w:val="center"/>
        <w:rPr>
          <w:rFonts w:asciiTheme="minorEastAsia" w:eastAsiaTheme="minorEastAsia" w:hAnsiTheme="minorEastAsia"/>
          <w:sz w:val="24"/>
        </w:rPr>
      </w:pPr>
    </w:p>
    <w:p w14:paraId="70E20A23" w14:textId="77777777" w:rsidR="008D1F67" w:rsidRPr="008D1F67" w:rsidRDefault="008D1F67" w:rsidP="008D1F67">
      <w:pPr>
        <w:snapToGrid w:val="0"/>
        <w:spacing w:line="360" w:lineRule="exact"/>
        <w:ind w:firstLineChars="100" w:firstLine="241"/>
        <w:jc w:val="left"/>
        <w:rPr>
          <w:rFonts w:asciiTheme="minorEastAsia" w:eastAsiaTheme="minorEastAsia" w:hAnsiTheme="minorEastAsia"/>
          <w:sz w:val="24"/>
        </w:rPr>
      </w:pPr>
      <w:r w:rsidRPr="008D1F67">
        <w:rPr>
          <w:rFonts w:asciiTheme="minorEastAsia" w:eastAsiaTheme="minorEastAsia" w:hAnsiTheme="minorEastAsia" w:hint="eastAsia"/>
          <w:sz w:val="24"/>
        </w:rPr>
        <w:t>政府は、「財政健全化の「旗」を下ろさず、長期を見据えた一貫性のある経済財政政策の方向性を明確に示す」ことや「2025年度から2026年度を通じて、可能な限り早期の国・地方を合わせたPB黒字化を目指す」ことを「骨太方針2025」に盛り込んでおり、地方一般財源総額については、「2024年度地方財政計画の水準を下回らないよう実質的に同水準を確保」するとしている。</w:t>
      </w:r>
    </w:p>
    <w:p w14:paraId="2AABC472" w14:textId="77777777" w:rsidR="008D1F67" w:rsidRPr="008D1F67" w:rsidRDefault="008D1F67" w:rsidP="008D1F67">
      <w:pPr>
        <w:snapToGrid w:val="0"/>
        <w:spacing w:line="360" w:lineRule="exact"/>
        <w:ind w:firstLineChars="100" w:firstLine="241"/>
        <w:jc w:val="left"/>
        <w:rPr>
          <w:rFonts w:asciiTheme="minorEastAsia" w:eastAsiaTheme="minorEastAsia" w:hAnsiTheme="minorEastAsia"/>
          <w:sz w:val="24"/>
        </w:rPr>
      </w:pPr>
      <w:r w:rsidRPr="008D1F67">
        <w:rPr>
          <w:rFonts w:asciiTheme="minorEastAsia" w:eastAsiaTheme="minorEastAsia" w:hAnsiTheme="minorEastAsia" w:hint="eastAsia"/>
          <w:sz w:val="24"/>
        </w:rPr>
        <w:t>しかしながら、増え続ける社会保障関係経費や、国の法令等の関与が存在するなどの理由により義務的に発生する経費が地方の歳出の大部分を占めており、地方が自主的に使途を決めて使える財源は限られている。</w:t>
      </w:r>
    </w:p>
    <w:p w14:paraId="1A9C1A44" w14:textId="77777777" w:rsidR="008D1F67" w:rsidRPr="008D1F67"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 xml:space="preserve">　物価高騰が長期化する中、義務的に支出する給与関係経費の増大等の影響により、地方財政は依然として予断を許さない状況にある。</w:t>
      </w:r>
    </w:p>
    <w:p w14:paraId="71A855CD" w14:textId="77777777" w:rsidR="008D1F67" w:rsidRPr="008D1F67"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 xml:space="preserve">　引き続き、こども・子育て支援の強化をはじめ社会保障の充実等、東京一極集中の是正、国土双眼型構造への転換、地域の経済・雇用対策、防災・減災対策やデジタル化の推進など、喫緊の地域課題に機動的に対応していく必要があることから、次のとおり提言する。</w:t>
      </w:r>
    </w:p>
    <w:p w14:paraId="61F09507" w14:textId="641C7A05" w:rsidR="008D1F67" w:rsidRDefault="008D1F67" w:rsidP="008D1F67">
      <w:pPr>
        <w:snapToGrid w:val="0"/>
        <w:spacing w:line="360" w:lineRule="exact"/>
        <w:jc w:val="left"/>
        <w:rPr>
          <w:rFonts w:asciiTheme="minorEastAsia" w:eastAsiaTheme="minorEastAsia" w:hAnsiTheme="minorEastAsia"/>
          <w:sz w:val="24"/>
        </w:rPr>
      </w:pPr>
    </w:p>
    <w:p w14:paraId="3381FFAA" w14:textId="77777777" w:rsidR="008D1F67" w:rsidRPr="008D1F67" w:rsidRDefault="008D1F67" w:rsidP="008D1F67">
      <w:pPr>
        <w:snapToGrid w:val="0"/>
        <w:spacing w:line="360" w:lineRule="exact"/>
        <w:jc w:val="left"/>
        <w:rPr>
          <w:rFonts w:asciiTheme="minorEastAsia" w:eastAsiaTheme="minorEastAsia" w:hAnsiTheme="minorEastAsia"/>
          <w:sz w:val="24"/>
        </w:rPr>
      </w:pPr>
    </w:p>
    <w:p w14:paraId="65921B9C" w14:textId="77777777" w:rsidR="008D1F67" w:rsidRPr="008D1F67"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１　地域課題に機動的に対応できるよう、今後の社会保障関係経費の増加など地方の財政需要を地方財政計画に的確に反映し、必要な地方一般財源総額を確保すること。</w:t>
      </w:r>
    </w:p>
    <w:p w14:paraId="6AB820F0" w14:textId="313A295B" w:rsidR="004E3C59"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 xml:space="preserve">　　長引く物価高騰への対応に加え、所得税の負担が生じる壁（年収の壁）の見直し及びいわゆる「ガソリンの暫定税率」の廃止に当たっては、地方の財政運営に支障が生じないよう、適切な財政措置を講じること。</w:t>
      </w:r>
    </w:p>
    <w:p w14:paraId="588D4259" w14:textId="1D39DB2D" w:rsidR="004E3C59" w:rsidRDefault="004E3C59" w:rsidP="00E80F0C">
      <w:pPr>
        <w:snapToGrid w:val="0"/>
        <w:spacing w:line="360" w:lineRule="exact"/>
        <w:ind w:left="482" w:hangingChars="200" w:hanging="482"/>
        <w:jc w:val="left"/>
        <w:rPr>
          <w:rFonts w:asciiTheme="minorEastAsia" w:eastAsiaTheme="minorEastAsia" w:hAnsiTheme="minorEastAsia"/>
          <w:sz w:val="24"/>
        </w:rPr>
      </w:pPr>
    </w:p>
    <w:p w14:paraId="4F9A0C96" w14:textId="70E23F40" w:rsidR="008D1F67" w:rsidRPr="00844945" w:rsidRDefault="00844945" w:rsidP="00844945">
      <w:pPr>
        <w:snapToGrid w:val="0"/>
        <w:spacing w:line="360" w:lineRule="exact"/>
        <w:jc w:val="left"/>
        <w:rPr>
          <w:rFonts w:asciiTheme="minorEastAsia" w:eastAsiaTheme="minorEastAsia" w:hAnsiTheme="minorEastAsia"/>
          <w:sz w:val="24"/>
        </w:rPr>
      </w:pPr>
      <w:r w:rsidRPr="00844945">
        <w:rPr>
          <w:rFonts w:asciiTheme="minorEastAsia" w:eastAsiaTheme="minorEastAsia" w:hAnsiTheme="minorEastAsia" w:hint="eastAsia"/>
          <w:sz w:val="24"/>
        </w:rPr>
        <w:t>２　令和７年度地方財政計画では、臨時財政対策債は制度創設以来初めて新規発行額が計上されないことになり、残高も大きく縮減しているものの、依然として1.1兆円もの財源不足が生じていることから、地方交付税の法定率引上げにより臨時財政対策債に依存することなく地方交付税総額を確保すること。</w:t>
      </w:r>
    </w:p>
    <w:p w14:paraId="70C78937" w14:textId="31E7FA1E" w:rsidR="00844945" w:rsidRDefault="00844945" w:rsidP="00844945">
      <w:pPr>
        <w:snapToGrid w:val="0"/>
        <w:spacing w:line="360" w:lineRule="exact"/>
        <w:jc w:val="left"/>
        <w:rPr>
          <w:rFonts w:asciiTheme="minorEastAsia" w:eastAsiaTheme="minorEastAsia" w:hAnsiTheme="minorEastAsia"/>
          <w:sz w:val="24"/>
        </w:rPr>
      </w:pPr>
    </w:p>
    <w:p w14:paraId="2B73238C" w14:textId="06CB397B"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3D68DA4F" w14:textId="7A8BCC22"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60232079" w14:textId="3EA19FFE"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5983AB8A" w14:textId="2B58A5ED"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02E231F2" w14:textId="3AA2B0E9"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0E69A3A1" w14:textId="05B71ED3"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5D263521" w14:textId="1DD120D6"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7AE57027" w14:textId="77777777"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16883105" w14:textId="02ACAB40" w:rsidR="00F25572" w:rsidRDefault="00F61176"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lastRenderedPageBreak/>
        <w:t>令和</w:t>
      </w:r>
      <w:r w:rsidR="0015522F">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15522F">
        <w:rPr>
          <w:rFonts w:asciiTheme="minorEastAsia" w:eastAsiaTheme="minorEastAsia" w:hAnsiTheme="minorEastAsia" w:hint="eastAsia"/>
          <w:sz w:val="24"/>
        </w:rPr>
        <w:t xml:space="preserve">　</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E501A5" w:rsidRPr="00E501A5">
        <w:rPr>
          <w:rFonts w:asciiTheme="minorEastAsia" w:eastAsiaTheme="minorEastAsia" w:hAnsiTheme="minorEastAsia" w:hint="eastAsia"/>
          <w:sz w:val="24"/>
        </w:rPr>
        <w:t>齋</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藤</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元</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426D669E"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15522F">
        <w:rPr>
          <w:rFonts w:asciiTheme="minorEastAsia" w:eastAsiaTheme="minorEastAsia" w:hAnsiTheme="minorEastAsia" w:hint="eastAsia"/>
          <w:sz w:val="24"/>
        </w:rPr>
        <w:t>宮　﨑</w:t>
      </w:r>
      <w:r w:rsidR="00EB40E1">
        <w:rPr>
          <w:rFonts w:asciiTheme="minorEastAsia" w:eastAsiaTheme="minorEastAsia" w:hAnsiTheme="minorEastAsia" w:hint="eastAsia"/>
          <w:sz w:val="24"/>
        </w:rPr>
        <w:t xml:space="preserve">　</w:t>
      </w:r>
      <w:r w:rsidR="0015522F">
        <w:rPr>
          <w:rFonts w:asciiTheme="minorEastAsia" w:eastAsiaTheme="minorEastAsia" w:hAnsiTheme="minorEastAsia" w:hint="eastAsia"/>
          <w:sz w:val="24"/>
        </w:rPr>
        <w:t xml:space="preserve">　　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6D4BE107" w:rsidR="00916CD1" w:rsidRPr="00E80F0C" w:rsidRDefault="00F25572" w:rsidP="004E3C59">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7BB1"/>
    <w:rsid w:val="0003259C"/>
    <w:rsid w:val="00033AE8"/>
    <w:rsid w:val="000351D5"/>
    <w:rsid w:val="00037F24"/>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522F"/>
    <w:rsid w:val="00157860"/>
    <w:rsid w:val="001611CA"/>
    <w:rsid w:val="0016443D"/>
    <w:rsid w:val="00165BD2"/>
    <w:rsid w:val="0017304A"/>
    <w:rsid w:val="001770F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652A"/>
    <w:rsid w:val="003A754C"/>
    <w:rsid w:val="003B44B5"/>
    <w:rsid w:val="003C1211"/>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376F"/>
    <w:rsid w:val="004A6EA0"/>
    <w:rsid w:val="004B67A4"/>
    <w:rsid w:val="004D04F0"/>
    <w:rsid w:val="004D473A"/>
    <w:rsid w:val="004E13DE"/>
    <w:rsid w:val="004E1E2D"/>
    <w:rsid w:val="004E2FE2"/>
    <w:rsid w:val="004E3C59"/>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095B"/>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4CAA"/>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4945"/>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D1F67"/>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0B99"/>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C3462"/>
    <w:rsid w:val="00AD13D3"/>
    <w:rsid w:val="00AD6AA7"/>
    <w:rsid w:val="00AE5B53"/>
    <w:rsid w:val="00AE7D0A"/>
    <w:rsid w:val="00AF6C49"/>
    <w:rsid w:val="00AF7DD3"/>
    <w:rsid w:val="00B126AD"/>
    <w:rsid w:val="00B16786"/>
    <w:rsid w:val="00B33901"/>
    <w:rsid w:val="00B43583"/>
    <w:rsid w:val="00B52D1D"/>
    <w:rsid w:val="00B5422A"/>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004F"/>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273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4FC5-9E76-4B23-8A38-38B3D133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350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2025-09-26T09:38:00Z</dcterms:created>
  <dcterms:modified xsi:type="dcterms:W3CDTF">2025-09-26T09:38:00Z</dcterms:modified>
</cp:coreProperties>
</file>