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7265" w14:textId="6F0845B5" w:rsidR="004C5D91" w:rsidRDefault="00DA0221" w:rsidP="00DA0221">
      <w:pPr>
        <w:jc w:val="center"/>
      </w:pPr>
      <w:r>
        <w:rPr>
          <w:rFonts w:hint="eastAsia"/>
        </w:rPr>
        <w:t>模擬授業テーマ一覧の</w:t>
      </w:r>
      <w:r w:rsidR="00BD3088">
        <w:rPr>
          <w:rFonts w:hint="eastAsia"/>
        </w:rPr>
        <w:t>記載の</w:t>
      </w:r>
      <w:r w:rsidR="008C0DA9">
        <w:rPr>
          <w:rFonts w:hint="eastAsia"/>
        </w:rPr>
        <w:t>一部</w:t>
      </w:r>
      <w:r w:rsidR="00526F09">
        <w:rPr>
          <w:rFonts w:hint="eastAsia"/>
        </w:rPr>
        <w:t>誤り</w:t>
      </w:r>
      <w:r w:rsidR="008C0DA9">
        <w:rPr>
          <w:rFonts w:hint="eastAsia"/>
        </w:rPr>
        <w:t>について</w:t>
      </w:r>
    </w:p>
    <w:p w14:paraId="6A0DED4C" w14:textId="33557505" w:rsidR="00DA0221" w:rsidRDefault="00DA0221" w:rsidP="00DA0221"/>
    <w:p w14:paraId="77EA67F3" w14:textId="0BD2DDB1" w:rsidR="00DA0221" w:rsidRDefault="00DA0221" w:rsidP="00526F09">
      <w:r>
        <w:rPr>
          <w:rFonts w:hint="eastAsia"/>
        </w:rPr>
        <w:t xml:space="preserve">　令和８年度大阪府公立学校教員採用選考テストの模擬授業テーマ一覧について、</w:t>
      </w:r>
      <w:r w:rsidR="00BD3088" w:rsidRPr="00BD3088">
        <w:rPr>
          <w:rFonts w:hint="eastAsia"/>
        </w:rPr>
        <w:t>【小学校・小中いきいき連携】</w:t>
      </w:r>
      <w:r w:rsidR="00BD3088">
        <w:rPr>
          <w:rFonts w:hint="eastAsia"/>
        </w:rPr>
        <w:t>の理科編の</w:t>
      </w:r>
      <w:r>
        <w:rPr>
          <w:rFonts w:hint="eastAsia"/>
        </w:rPr>
        <w:t>記載</w:t>
      </w:r>
      <w:r w:rsidR="00BD3088">
        <w:rPr>
          <w:rFonts w:hint="eastAsia"/>
        </w:rPr>
        <w:t>の</w:t>
      </w:r>
      <w:r>
        <w:rPr>
          <w:rFonts w:hint="eastAsia"/>
        </w:rPr>
        <w:t>一部</w:t>
      </w:r>
      <w:r w:rsidR="00BD3088">
        <w:rPr>
          <w:rFonts w:hint="eastAsia"/>
        </w:rPr>
        <w:t>に</w:t>
      </w:r>
      <w:r>
        <w:rPr>
          <w:rFonts w:hint="eastAsia"/>
        </w:rPr>
        <w:t>誤り</w:t>
      </w:r>
      <w:r w:rsidR="00115751">
        <w:rPr>
          <w:rFonts w:hint="eastAsia"/>
        </w:rPr>
        <w:t>があり</w:t>
      </w:r>
      <w:r w:rsidR="00526F09">
        <w:rPr>
          <w:rFonts w:hint="eastAsia"/>
        </w:rPr>
        <w:t>ましたので、下記の通り訂正いたします</w:t>
      </w:r>
      <w:r w:rsidR="008C0DA9">
        <w:rPr>
          <w:rFonts w:hint="eastAsia"/>
        </w:rPr>
        <w:t>。今回の誤りによる模擬授業の評価への影響はありません。</w:t>
      </w:r>
      <w:r w:rsidR="00942DF8">
        <w:rPr>
          <w:rFonts w:hint="eastAsia"/>
        </w:rPr>
        <w:t>なお</w:t>
      </w:r>
      <w:r w:rsidR="00942DF8" w:rsidRPr="00526F09">
        <w:rPr>
          <w:rFonts w:hint="eastAsia"/>
        </w:rPr>
        <w:t>、</w:t>
      </w:r>
      <w:r w:rsidR="00BD3088" w:rsidRPr="00526F09">
        <w:rPr>
          <w:rFonts w:hint="eastAsia"/>
        </w:rPr>
        <w:t>受験者のみなさまに行っていただく</w:t>
      </w:r>
      <w:r w:rsidR="00526F09">
        <w:rPr>
          <w:rFonts w:hint="eastAsia"/>
        </w:rPr>
        <w:t>模擬授業の</w:t>
      </w:r>
      <w:r w:rsidR="00BD3088" w:rsidRPr="00526F09">
        <w:rPr>
          <w:rFonts w:hint="eastAsia"/>
        </w:rPr>
        <w:t>内容に</w:t>
      </w:r>
      <w:r w:rsidR="00526F09">
        <w:rPr>
          <w:rFonts w:hint="eastAsia"/>
        </w:rPr>
        <w:t>も</w:t>
      </w:r>
      <w:r w:rsidR="00BD3088" w:rsidRPr="00526F09">
        <w:rPr>
          <w:rFonts w:hint="eastAsia"/>
        </w:rPr>
        <w:t>変更はありません。</w:t>
      </w:r>
    </w:p>
    <w:p w14:paraId="74A37240" w14:textId="77777777" w:rsidR="00BD3088" w:rsidRDefault="00BD3088" w:rsidP="00DA0221"/>
    <w:p w14:paraId="5E9FD01E" w14:textId="765BF507" w:rsidR="00DA0221" w:rsidRDefault="00DA0221" w:rsidP="00DA0221">
      <w:pPr>
        <w:rPr>
          <w:bdr w:val="single" w:sz="4" w:space="0" w:color="auto"/>
        </w:rPr>
      </w:pPr>
      <w:r w:rsidRPr="00DA0221">
        <w:rPr>
          <w:rFonts w:hint="eastAsia"/>
          <w:bdr w:val="single" w:sz="4" w:space="0" w:color="auto"/>
        </w:rPr>
        <w:t>訂正内容</w:t>
      </w:r>
    </w:p>
    <w:p w14:paraId="40D3FF82" w14:textId="456B45DC" w:rsidR="008C0DA9" w:rsidRPr="008C0DA9" w:rsidRDefault="008C0DA9" w:rsidP="00DA0221">
      <w:r w:rsidRPr="008C0DA9">
        <w:rPr>
          <w:rFonts w:hint="eastAsia"/>
        </w:rPr>
        <w:t xml:space="preserve">　模擬授業テーマ一覧１ページの表（２）【小学校・小中いきいき連携】の「模擬授業の内容」のうち、理科編の領域の記載が誤っていた。</w:t>
      </w:r>
    </w:p>
    <w:p w14:paraId="7F66B79D" w14:textId="778567AF" w:rsidR="00356418" w:rsidRPr="007A0CDC" w:rsidRDefault="00356418" w:rsidP="00356418">
      <w:pPr>
        <w:rPr>
          <w:sz w:val="24"/>
          <w:szCs w:val="24"/>
        </w:rPr>
      </w:pPr>
      <w:r w:rsidRPr="007A0CDC">
        <w:rPr>
          <w:rFonts w:hint="eastAsia"/>
          <w:sz w:val="24"/>
          <w:szCs w:val="24"/>
        </w:rPr>
        <w:t>【誤】</w:t>
      </w:r>
    </w:p>
    <w:p w14:paraId="4B27DFCE" w14:textId="1157FF74" w:rsidR="00356418" w:rsidRPr="00356418" w:rsidRDefault="00356418" w:rsidP="00356418">
      <w:pPr>
        <w:widowControl/>
        <w:spacing w:line="320" w:lineRule="exact"/>
        <w:ind w:leftChars="-67" w:left="1" w:hangingChars="59" w:hanging="142"/>
        <w:jc w:val="left"/>
        <w:rPr>
          <w:rFonts w:ascii="UD デジタル 教科書体 N-R" w:eastAsia="UD デジタル 教科書体 N-R" w:hAnsi="ＭＳ 明朝" w:cs="Times New Roman"/>
          <w:color w:val="000000"/>
          <w:sz w:val="24"/>
        </w:rPr>
      </w:pPr>
    </w:p>
    <w:tbl>
      <w:tblPr>
        <w:tblStyle w:val="1"/>
        <w:tblW w:w="7797" w:type="dxa"/>
        <w:tblInd w:w="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526F09" w:rsidRPr="00356418" w14:paraId="15E75548" w14:textId="77777777" w:rsidTr="00526F09">
        <w:trPr>
          <w:trHeight w:val="2065"/>
        </w:trPr>
        <w:tc>
          <w:tcPr>
            <w:tcW w:w="7797" w:type="dxa"/>
            <w:vAlign w:val="center"/>
          </w:tcPr>
          <w:p w14:paraId="77646B44" w14:textId="77777777" w:rsidR="00526F09" w:rsidRPr="00356418" w:rsidRDefault="00526F09" w:rsidP="00356418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Times New Roman"/>
                <w:sz w:val="18"/>
                <w:szCs w:val="18"/>
              </w:rPr>
            </w:pPr>
            <w:r w:rsidRPr="00356418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≪　小学校学習指導要領解説　理科編　第３章　第４節　２　第６学年の内容　≫</w:t>
            </w:r>
          </w:p>
          <w:p w14:paraId="6273FA2D" w14:textId="77777777" w:rsidR="00526F09" w:rsidRPr="00356418" w:rsidRDefault="00526F09" w:rsidP="00356418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="ＭＳ 明朝" w:cs="ＭＳ Ｐゴシック"/>
                <w:bCs/>
                <w:kern w:val="0"/>
                <w:sz w:val="18"/>
                <w:szCs w:val="18"/>
                <w:u w:val="wave"/>
              </w:rPr>
            </w:pPr>
            <w:r w:rsidRPr="00356418">
              <w:rPr>
                <w:rFonts w:ascii="UD デジタル 教科書体 NP-R" w:eastAsia="UD デジタル 教科書体 NP-R" w:hAnsi="ＭＳ 明朝" w:cs="ＭＳ Ｐゴシック" w:hint="eastAsia"/>
                <w:bCs/>
                <w:kern w:val="0"/>
                <w:sz w:val="18"/>
                <w:szCs w:val="18"/>
                <w:u w:val="wave"/>
              </w:rPr>
              <w:t>Ａ　物質・エネルギー</w:t>
            </w:r>
          </w:p>
          <w:p w14:paraId="16516E89" w14:textId="77777777" w:rsidR="00526F09" w:rsidRPr="00356418" w:rsidRDefault="00526F09" w:rsidP="00356418">
            <w:pPr>
              <w:widowControl/>
              <w:spacing w:line="240" w:lineRule="exact"/>
              <w:ind w:firstLineChars="100" w:firstLine="180"/>
              <w:jc w:val="left"/>
              <w:outlineLvl w:val="6"/>
              <w:rPr>
                <w:rFonts w:ascii="UD デジタル 教科書体 NP-R" w:eastAsia="UD デジタル 教科書体 NP-R" w:hAnsi="ＭＳ 明朝" w:cs="Times New Roman"/>
                <w:sz w:val="18"/>
                <w:szCs w:val="18"/>
              </w:rPr>
            </w:pPr>
            <w:r w:rsidRPr="00356418">
              <w:rPr>
                <w:rFonts w:ascii="UD デジタル 教科書体 N-R" w:eastAsia="UD デジタル 教科書体 N-R" w:hAnsi="Century" w:cs="Times New Roman" w:hint="eastAsia"/>
                <w:sz w:val="18"/>
                <w:szCs w:val="18"/>
              </w:rPr>
              <w:t>(</w:t>
            </w:r>
            <w:r w:rsidRPr="00356418"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  <w:t>4</w:t>
            </w:r>
            <w:r w:rsidRPr="00356418">
              <w:rPr>
                <w:rFonts w:ascii="UD デジタル 教科書体 N-R" w:eastAsia="UD デジタル 教科書体 N-R" w:hAnsi="Century" w:cs="Times New Roman" w:hint="eastAsia"/>
                <w:sz w:val="18"/>
                <w:szCs w:val="18"/>
              </w:rPr>
              <w:t>)</w:t>
            </w: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 xml:space="preserve">　</w:t>
            </w:r>
            <w:r w:rsidRPr="00356418">
              <w:rPr>
                <w:rFonts w:ascii="UD デジタル 教科書体 NP-R" w:eastAsia="UD デジタル 教科書体 NP-R" w:hAnsi="Century" w:cs="HiraKakuPro-W6" w:hint="eastAsia"/>
                <w:kern w:val="0"/>
                <w:sz w:val="18"/>
                <w:szCs w:val="18"/>
              </w:rPr>
              <w:t>土地のつくりと変化</w:t>
            </w:r>
          </w:p>
          <w:p w14:paraId="4D0A3D9C" w14:textId="77777777" w:rsidR="00526F09" w:rsidRPr="00356418" w:rsidRDefault="00526F09" w:rsidP="00356418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UD デジタル 教科書体 NP-R" w:eastAsia="UD デジタル 教科書体 NP-R" w:hAnsi="Century" w:cs="ZenOMNR"/>
                <w:kern w:val="0"/>
                <w:sz w:val="18"/>
                <w:szCs w:val="18"/>
              </w:rPr>
            </w:pP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 xml:space="preserve">ア　</w:t>
            </w:r>
            <w:r w:rsidRPr="00356418">
              <w:rPr>
                <w:rFonts w:ascii="UD デジタル 教科書体 NP-R" w:eastAsia="UD デジタル 教科書体 NP-R" w:hAnsi="Century" w:cs="ZenOMNR" w:hint="eastAsia"/>
                <w:kern w:val="0"/>
                <w:sz w:val="18"/>
                <w:szCs w:val="18"/>
              </w:rPr>
              <w:t>次のことを理解するとともに、観察、実験などに関する技能を身に付けること。</w:t>
            </w:r>
          </w:p>
          <w:p w14:paraId="097984C6" w14:textId="1CEA5A39" w:rsidR="00526F09" w:rsidRPr="00356418" w:rsidRDefault="00526F09" w:rsidP="00356418">
            <w:pPr>
              <w:spacing w:line="240" w:lineRule="exact"/>
              <w:ind w:firstLineChars="300" w:firstLine="540"/>
              <w:jc w:val="left"/>
              <w:outlineLvl w:val="6"/>
              <w:rPr>
                <w:rFonts w:ascii="UD デジタル 教科書体 N-R" w:eastAsia="UD デジタル 教科書体 N-R" w:hAnsi="ＭＳ 明朝" w:cs="Times New Roman"/>
                <w:color w:val="000000"/>
                <w:sz w:val="18"/>
                <w:szCs w:val="18"/>
              </w:rPr>
            </w:pPr>
            <w:r w:rsidRPr="00356418">
              <w:rPr>
                <w:rFonts w:ascii="UD デジタル 教科書体 NP-R" w:eastAsia="UD デジタル 教科書体 NP-R" w:hAnsi="Century" w:cs="ZenOMNR" w:hint="eastAsia"/>
                <w:kern w:val="0"/>
                <w:sz w:val="18"/>
                <w:szCs w:val="18"/>
              </w:rPr>
              <w:t>(ｲ)　地層は、流れる水の働きや火山の噴火によってできること。</w:t>
            </w: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>（P.90）</w:t>
            </w:r>
          </w:p>
        </w:tc>
      </w:tr>
    </w:tbl>
    <w:p w14:paraId="787CD69C" w14:textId="2A2E06AB" w:rsidR="007A0CDC" w:rsidRDefault="00142291" w:rsidP="003564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85CB" wp14:editId="48672697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139065</wp:posOffset>
                </wp:positionV>
                <wp:extent cx="922020" cy="3810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6A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in;margin-top:10.95pt;width:72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" adj="10800" fillcolor="#4472c4 [3204]" strokecolor="#1f3763 [1604]" strokeweight="1pt"/>
            </w:pict>
          </mc:Fallback>
        </mc:AlternateContent>
      </w:r>
    </w:p>
    <w:p w14:paraId="2314FE48" w14:textId="776BD0E4" w:rsidR="00142291" w:rsidRDefault="00142291" w:rsidP="00356418"/>
    <w:p w14:paraId="78DCF5B5" w14:textId="3F487A6C" w:rsidR="00356418" w:rsidRPr="007A0CDC" w:rsidRDefault="00356418" w:rsidP="00356418">
      <w:pPr>
        <w:rPr>
          <w:sz w:val="24"/>
          <w:szCs w:val="24"/>
        </w:rPr>
      </w:pPr>
      <w:r w:rsidRPr="007A0CDC">
        <w:rPr>
          <w:rFonts w:hint="eastAsia"/>
          <w:sz w:val="24"/>
          <w:szCs w:val="24"/>
        </w:rPr>
        <w:t>【正】</w:t>
      </w:r>
    </w:p>
    <w:p w14:paraId="7BB23C28" w14:textId="44BDBDB9" w:rsidR="007A0CDC" w:rsidRPr="00356418" w:rsidRDefault="007A0CDC" w:rsidP="007A0CDC">
      <w:pPr>
        <w:widowControl/>
        <w:spacing w:line="320" w:lineRule="exact"/>
        <w:ind w:leftChars="-67" w:left="1" w:hangingChars="59" w:hanging="142"/>
        <w:jc w:val="left"/>
        <w:rPr>
          <w:rFonts w:ascii="UD デジタル 教科書体 N-R" w:eastAsia="UD デジタル 教科書体 N-R" w:hAnsi="ＭＳ 明朝" w:cs="Times New Roman"/>
          <w:color w:val="000000"/>
          <w:sz w:val="24"/>
        </w:rPr>
      </w:pPr>
    </w:p>
    <w:tbl>
      <w:tblPr>
        <w:tblStyle w:val="1"/>
        <w:tblW w:w="7797" w:type="dxa"/>
        <w:tblInd w:w="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526F09" w:rsidRPr="00356418" w14:paraId="227E91B8" w14:textId="77777777" w:rsidTr="00526F09">
        <w:trPr>
          <w:trHeight w:val="2065"/>
        </w:trPr>
        <w:tc>
          <w:tcPr>
            <w:tcW w:w="7797" w:type="dxa"/>
            <w:vAlign w:val="center"/>
          </w:tcPr>
          <w:p w14:paraId="4492CF57" w14:textId="77777777" w:rsidR="00526F09" w:rsidRPr="00356418" w:rsidRDefault="00526F09" w:rsidP="001C54E8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Times New Roman"/>
                <w:sz w:val="18"/>
                <w:szCs w:val="18"/>
              </w:rPr>
            </w:pPr>
            <w:r w:rsidRPr="00356418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≪　小学校学習指導要領解説　理科編　第３章　第４節　２　第６学年の内容　≫</w:t>
            </w:r>
          </w:p>
          <w:p w14:paraId="4F291672" w14:textId="77777777" w:rsidR="00526F09" w:rsidRPr="00356418" w:rsidRDefault="00526F09" w:rsidP="001C54E8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="ＭＳ 明朝" w:cs="ＭＳ Ｐゴシック"/>
                <w:bCs/>
                <w:kern w:val="0"/>
                <w:sz w:val="18"/>
                <w:szCs w:val="18"/>
                <w:u w:val="wave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bCs/>
                <w:kern w:val="0"/>
                <w:sz w:val="18"/>
                <w:szCs w:val="18"/>
                <w:u w:val="wave"/>
              </w:rPr>
              <w:t>B</w:t>
            </w:r>
            <w:r w:rsidRPr="00356418">
              <w:rPr>
                <w:rFonts w:ascii="UD デジタル 教科書体 NP-R" w:eastAsia="UD デジタル 教科書体 NP-R" w:hAnsi="ＭＳ 明朝" w:cs="ＭＳ Ｐゴシック" w:hint="eastAsia"/>
                <w:bCs/>
                <w:kern w:val="0"/>
                <w:sz w:val="18"/>
                <w:szCs w:val="18"/>
                <w:u w:val="wave"/>
              </w:rPr>
              <w:t xml:space="preserve">　</w:t>
            </w:r>
            <w:r>
              <w:rPr>
                <w:rFonts w:ascii="UD デジタル 教科書体 NP-R" w:eastAsia="UD デジタル 教科書体 NP-R" w:hAnsi="ＭＳ 明朝" w:cs="ＭＳ Ｐゴシック" w:hint="eastAsia"/>
                <w:bCs/>
                <w:kern w:val="0"/>
                <w:sz w:val="18"/>
                <w:szCs w:val="18"/>
                <w:u w:val="wave"/>
              </w:rPr>
              <w:t>生命・地球</w:t>
            </w:r>
          </w:p>
          <w:p w14:paraId="764EE515" w14:textId="77777777" w:rsidR="00526F09" w:rsidRPr="00356418" w:rsidRDefault="00526F09" w:rsidP="001C54E8">
            <w:pPr>
              <w:widowControl/>
              <w:spacing w:line="240" w:lineRule="exact"/>
              <w:ind w:firstLineChars="100" w:firstLine="180"/>
              <w:jc w:val="left"/>
              <w:outlineLvl w:val="6"/>
              <w:rPr>
                <w:rFonts w:ascii="UD デジタル 教科書体 NP-R" w:eastAsia="UD デジタル 教科書体 NP-R" w:hAnsi="ＭＳ 明朝" w:cs="Times New Roman"/>
                <w:sz w:val="18"/>
                <w:szCs w:val="18"/>
              </w:rPr>
            </w:pPr>
            <w:r w:rsidRPr="00356418">
              <w:rPr>
                <w:rFonts w:ascii="UD デジタル 教科書体 N-R" w:eastAsia="UD デジタル 教科書体 N-R" w:hAnsi="Century" w:cs="Times New Roman" w:hint="eastAsia"/>
                <w:sz w:val="18"/>
                <w:szCs w:val="18"/>
              </w:rPr>
              <w:t>(</w:t>
            </w:r>
            <w:r w:rsidRPr="00356418"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  <w:t>4</w:t>
            </w:r>
            <w:r w:rsidRPr="00356418">
              <w:rPr>
                <w:rFonts w:ascii="UD デジタル 教科書体 N-R" w:eastAsia="UD デジタル 教科書体 N-R" w:hAnsi="Century" w:cs="Times New Roman" w:hint="eastAsia"/>
                <w:sz w:val="18"/>
                <w:szCs w:val="18"/>
              </w:rPr>
              <w:t>)</w:t>
            </w: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 xml:space="preserve">　</w:t>
            </w:r>
            <w:r w:rsidRPr="00356418">
              <w:rPr>
                <w:rFonts w:ascii="UD デジタル 教科書体 NP-R" w:eastAsia="UD デジタル 教科書体 NP-R" w:hAnsi="Century" w:cs="HiraKakuPro-W6" w:hint="eastAsia"/>
                <w:kern w:val="0"/>
                <w:sz w:val="18"/>
                <w:szCs w:val="18"/>
              </w:rPr>
              <w:t>土地のつくりと変化</w:t>
            </w:r>
          </w:p>
          <w:p w14:paraId="4BB75662" w14:textId="77777777" w:rsidR="00526F09" w:rsidRPr="00356418" w:rsidRDefault="00526F09" w:rsidP="001C54E8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jc w:val="left"/>
              <w:rPr>
                <w:rFonts w:ascii="UD デジタル 教科書体 NP-R" w:eastAsia="UD デジタル 教科書体 NP-R" w:hAnsi="Century" w:cs="ZenOMNR"/>
                <w:kern w:val="0"/>
                <w:sz w:val="18"/>
                <w:szCs w:val="18"/>
              </w:rPr>
            </w:pP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 xml:space="preserve">ア　</w:t>
            </w:r>
            <w:r w:rsidRPr="00356418">
              <w:rPr>
                <w:rFonts w:ascii="UD デジタル 教科書体 NP-R" w:eastAsia="UD デジタル 教科書体 NP-R" w:hAnsi="Century" w:cs="ZenOMNR" w:hint="eastAsia"/>
                <w:kern w:val="0"/>
                <w:sz w:val="18"/>
                <w:szCs w:val="18"/>
              </w:rPr>
              <w:t>次のことを理解するとともに、観察、実験などに関する技能を身に付けること。</w:t>
            </w:r>
          </w:p>
          <w:p w14:paraId="6DF31BCE" w14:textId="5379BBE7" w:rsidR="00526F09" w:rsidRPr="00356418" w:rsidRDefault="00526F09" w:rsidP="001C54E8">
            <w:pPr>
              <w:spacing w:line="240" w:lineRule="exact"/>
              <w:ind w:firstLineChars="300" w:firstLine="540"/>
              <w:jc w:val="left"/>
              <w:outlineLvl w:val="6"/>
              <w:rPr>
                <w:rFonts w:ascii="UD デジタル 教科書体 N-R" w:eastAsia="UD デジタル 教科書体 N-R" w:hAnsi="ＭＳ 明朝" w:cs="Times New Roman"/>
                <w:color w:val="000000"/>
                <w:sz w:val="18"/>
                <w:szCs w:val="18"/>
              </w:rPr>
            </w:pPr>
            <w:r w:rsidRPr="00356418">
              <w:rPr>
                <w:rFonts w:ascii="UD デジタル 教科書体 NP-R" w:eastAsia="UD デジタル 教科書体 NP-R" w:hAnsi="Century" w:cs="ZenOMNR" w:hint="eastAsia"/>
                <w:kern w:val="0"/>
                <w:sz w:val="18"/>
                <w:szCs w:val="18"/>
              </w:rPr>
              <w:t>(ｲ)　地層は、流れる水の働きや火山の噴火によってできること。</w:t>
            </w:r>
            <w:r w:rsidRPr="0035641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>（P.90）</w:t>
            </w:r>
          </w:p>
        </w:tc>
      </w:tr>
    </w:tbl>
    <w:p w14:paraId="223BF738" w14:textId="77777777" w:rsidR="007A0CDC" w:rsidRDefault="007A0CDC" w:rsidP="007A0CDC"/>
    <w:p w14:paraId="5A8D5993" w14:textId="77777777" w:rsidR="007A0CDC" w:rsidRDefault="007A0CDC" w:rsidP="00356418"/>
    <w:sectPr w:rsidR="007A0CDC" w:rsidSect="00356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E82C" w14:textId="77777777" w:rsidR="00F95944" w:rsidRDefault="00F95944" w:rsidP="008C0DA9">
      <w:r>
        <w:separator/>
      </w:r>
    </w:p>
  </w:endnote>
  <w:endnote w:type="continuationSeparator" w:id="0">
    <w:p w14:paraId="0D7BAED4" w14:textId="77777777" w:rsidR="00F95944" w:rsidRDefault="00F95944" w:rsidP="008C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KakuPro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enOMN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FCFE" w14:textId="77777777" w:rsidR="00F95944" w:rsidRDefault="00F95944" w:rsidP="008C0DA9">
      <w:r>
        <w:separator/>
      </w:r>
    </w:p>
  </w:footnote>
  <w:footnote w:type="continuationSeparator" w:id="0">
    <w:p w14:paraId="57990E6A" w14:textId="77777777" w:rsidR="00F95944" w:rsidRDefault="00F95944" w:rsidP="008C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EE"/>
    <w:rsid w:val="00115751"/>
    <w:rsid w:val="00116C75"/>
    <w:rsid w:val="00142291"/>
    <w:rsid w:val="001546EA"/>
    <w:rsid w:val="0016389E"/>
    <w:rsid w:val="00356418"/>
    <w:rsid w:val="00453039"/>
    <w:rsid w:val="004C5D91"/>
    <w:rsid w:val="004F7D76"/>
    <w:rsid w:val="00526F09"/>
    <w:rsid w:val="00534469"/>
    <w:rsid w:val="006558A7"/>
    <w:rsid w:val="0072614E"/>
    <w:rsid w:val="007A0CDC"/>
    <w:rsid w:val="007B5174"/>
    <w:rsid w:val="008C0DA9"/>
    <w:rsid w:val="00912BEE"/>
    <w:rsid w:val="00942DF8"/>
    <w:rsid w:val="00BD3088"/>
    <w:rsid w:val="00C914D1"/>
    <w:rsid w:val="00C96931"/>
    <w:rsid w:val="00DA0221"/>
    <w:rsid w:val="00F95944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D35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5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DA9"/>
  </w:style>
  <w:style w:type="paragraph" w:styleId="a6">
    <w:name w:val="footer"/>
    <w:basedOn w:val="a"/>
    <w:link w:val="a7"/>
    <w:uiPriority w:val="99"/>
    <w:unhideWhenUsed/>
    <w:rsid w:val="008C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2025-07-29T02:20:00Z</dcterms:created>
  <dcterms:modified xsi:type="dcterms:W3CDTF">2025-07-29T03:07:00Z</dcterms:modified>
</cp:coreProperties>
</file>