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203C0B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76A41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4</DocSecurity>
  <Lines>4</Lines>
  <Paragraphs>1</Paragraphs>
  <ScaleCrop>false</ScaleCrop>
  <Company>厚生労働省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　昌史</dc:creator>
  <cp:lastModifiedBy>藤田　昌史</cp:lastModifiedBy>
  <cp:revision>2</cp:revision>
  <dcterms:created xsi:type="dcterms:W3CDTF">2025-05-26T07:26:00Z</dcterms:created>
  <dcterms:modified xsi:type="dcterms:W3CDTF">2025-05-26T07:26:00Z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