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drawings/drawing3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2B2" w:rsidRPr="00F674D1" w:rsidRDefault="00D772B2" w:rsidP="00D772B2">
      <w:pPr>
        <w:rPr>
          <w:rFonts w:ascii="HGSｺﾞｼｯｸM" w:eastAsia="HGSｺﾞｼｯｸM" w:hAnsi="HG丸ｺﾞｼｯｸM-PRO"/>
          <w:sz w:val="24"/>
          <w:szCs w:val="24"/>
        </w:rPr>
      </w:pPr>
      <w:r w:rsidRPr="00F674D1">
        <w:rPr>
          <w:rFonts w:ascii="HGSｺﾞｼｯｸM" w:eastAsia="HGSｺﾞｼｯｸM" w:hAnsi="HG丸ｺﾞｼｯｸM-PRO" w:hint="eastAsia"/>
          <w:sz w:val="24"/>
          <w:szCs w:val="24"/>
        </w:rPr>
        <w:t xml:space="preserve">府民経済トピックス </w:t>
      </w:r>
      <w:r w:rsidR="0044646B" w:rsidRPr="00F674D1">
        <w:rPr>
          <w:rFonts w:ascii="HGSｺﾞｼｯｸM" w:eastAsia="HGSｺﾞｼｯｸM" w:hAnsi="HG丸ｺﾞｼｯｸM-PRO" w:hint="eastAsia"/>
          <w:sz w:val="24"/>
          <w:szCs w:val="24"/>
        </w:rPr>
        <w:t xml:space="preserve">　</w:t>
      </w:r>
      <w:r w:rsidRPr="00F674D1">
        <w:rPr>
          <w:rFonts w:ascii="HGSｺﾞｼｯｸM" w:eastAsia="HGSｺﾞｼｯｸM" w:hAnsi="HG丸ｺﾞｼｯｸM-PRO" w:hint="eastAsia"/>
          <w:sz w:val="24"/>
          <w:szCs w:val="24"/>
        </w:rPr>
        <w:t>その１ 大阪府の産業構造の変遷</w:t>
      </w:r>
    </w:p>
    <w:p w:rsidR="00D772B2" w:rsidRPr="00F674D1" w:rsidRDefault="00D772B2" w:rsidP="00D772B2">
      <w:pPr>
        <w:rPr>
          <w:rFonts w:ascii="HGSｺﾞｼｯｸM" w:eastAsia="HGSｺﾞｼｯｸM" w:hAnsi="HG丸ｺﾞｼｯｸM-PRO"/>
          <w:sz w:val="20"/>
        </w:rPr>
      </w:pPr>
    </w:p>
    <w:p w:rsidR="00D772B2" w:rsidRPr="00F674D1" w:rsidRDefault="00D772B2" w:rsidP="00D772B2">
      <w:pPr>
        <w:jc w:val="left"/>
        <w:rPr>
          <w:rFonts w:ascii="HGSｺﾞｼｯｸM" w:eastAsia="HGSｺﾞｼｯｸM" w:hAnsi="HG丸ｺﾞｼｯｸM-PRO"/>
          <w:sz w:val="20"/>
        </w:rPr>
      </w:pPr>
      <w:r w:rsidRPr="00F674D1">
        <w:rPr>
          <w:rFonts w:ascii="HGSｺﾞｼｯｸM" w:eastAsia="HGSｺﾞｼｯｸM" w:hAnsi="HG丸ｺﾞｼｯｸM-PRO" w:hint="eastAsia"/>
          <w:sz w:val="20"/>
        </w:rPr>
        <w:t xml:space="preserve">　ここでは、大阪府の産業構造の変遷について見ます。</w:t>
      </w:r>
    </w:p>
    <w:p w:rsidR="00D772B2" w:rsidRPr="00F674D1" w:rsidRDefault="00D772B2" w:rsidP="00D772B2">
      <w:pPr>
        <w:jc w:val="left"/>
        <w:rPr>
          <w:rFonts w:ascii="HGSｺﾞｼｯｸM" w:eastAsia="HGSｺﾞｼｯｸM" w:hAnsi="HG丸ｺﾞｼｯｸM-PRO"/>
          <w:sz w:val="20"/>
        </w:rPr>
      </w:pPr>
      <w:r w:rsidRPr="00F674D1">
        <w:rPr>
          <w:rFonts w:ascii="HGSｺﾞｼｯｸM" w:eastAsia="HGSｺﾞｼｯｸM" w:hAnsi="HG丸ｺﾞｼｯｸM-PRO" w:hint="eastAsia"/>
          <w:sz w:val="20"/>
        </w:rPr>
        <w:t xml:space="preserve">  下図は、府の経済活動別府内総生産（生産側名目）の特化係数と府内総生産の構成比の推移を示しています。特化係数とは、地域の産業構造を分析するもので、地域で卓越した業種を見る指標です。産業別</w:t>
      </w:r>
      <w:r w:rsidR="00BA638E" w:rsidRPr="00F674D1">
        <w:rPr>
          <w:rFonts w:ascii="HGSｺﾞｼｯｸM" w:eastAsia="HGSｺﾞｼｯｸM" w:hAnsi="HG丸ｺﾞｼｯｸM-PRO" w:hint="eastAsia"/>
          <w:sz w:val="20"/>
        </w:rPr>
        <w:t>構成比</w:t>
      </w:r>
      <w:r w:rsidRPr="00F674D1">
        <w:rPr>
          <w:rFonts w:ascii="HGSｺﾞｼｯｸM" w:eastAsia="HGSｺﾞｼｯｸM" w:hAnsi="HG丸ｺﾞｼｯｸM-PRO" w:hint="eastAsia"/>
          <w:sz w:val="20"/>
        </w:rPr>
        <w:t>の全国平均を１としたときの、当該地域の</w:t>
      </w:r>
      <w:r w:rsidR="00BA638E" w:rsidRPr="00F674D1">
        <w:rPr>
          <w:rFonts w:ascii="HGSｺﾞｼｯｸM" w:eastAsia="HGSｺﾞｼｯｸM" w:hAnsi="HG丸ｺﾞｼｯｸM-PRO" w:hint="eastAsia"/>
          <w:sz w:val="20"/>
        </w:rPr>
        <w:t>構成比が全国平均より大きいかを示します。</w:t>
      </w:r>
      <w:r w:rsidRPr="00F674D1">
        <w:rPr>
          <w:rFonts w:ascii="HGSｺﾞｼｯｸM" w:eastAsia="HGSｺﾞｼｯｸM" w:hAnsi="HG丸ｺﾞｼｯｸM-PRO" w:hint="eastAsia"/>
          <w:sz w:val="20"/>
        </w:rPr>
        <w:t>特化係数が1より大きい場合は、その産業に特化しているといえます（特化係数＝大阪府</w:t>
      </w:r>
      <w:r w:rsidR="00BA638E" w:rsidRPr="00F674D1">
        <w:rPr>
          <w:rFonts w:ascii="HGSｺﾞｼｯｸM" w:eastAsia="HGSｺﾞｼｯｸM" w:hAnsi="HG丸ｺﾞｼｯｸM-PRO" w:hint="eastAsia"/>
          <w:sz w:val="20"/>
        </w:rPr>
        <w:t>の</w:t>
      </w:r>
      <w:r w:rsidRPr="00F674D1">
        <w:rPr>
          <w:rFonts w:ascii="HGSｺﾞｼｯｸM" w:eastAsia="HGSｺﾞｼｯｸM" w:hAnsi="HG丸ｺﾞｼｯｸM-PRO" w:hint="eastAsia"/>
          <w:sz w:val="20"/>
        </w:rPr>
        <w:t>産業別</w:t>
      </w:r>
      <w:r w:rsidR="00BA638E" w:rsidRPr="00F674D1">
        <w:rPr>
          <w:rFonts w:ascii="HGSｺﾞｼｯｸM" w:eastAsia="HGSｺﾞｼｯｸM" w:hAnsi="HG丸ｺﾞｼｯｸM-PRO" w:hint="eastAsia"/>
          <w:sz w:val="20"/>
        </w:rPr>
        <w:t>構成比</w:t>
      </w:r>
      <w:r w:rsidRPr="00F674D1">
        <w:rPr>
          <w:rFonts w:ascii="HGSｺﾞｼｯｸM" w:eastAsia="HGSｺﾞｼｯｸM" w:hAnsi="HG丸ｺﾞｼｯｸM-PRO" w:hint="eastAsia"/>
          <w:sz w:val="20"/>
        </w:rPr>
        <w:t>÷全国</w:t>
      </w:r>
      <w:r w:rsidR="00BA638E" w:rsidRPr="00F674D1">
        <w:rPr>
          <w:rFonts w:ascii="HGSｺﾞｼｯｸM" w:eastAsia="HGSｺﾞｼｯｸM" w:hAnsi="HG丸ｺﾞｼｯｸM-PRO" w:hint="eastAsia"/>
          <w:sz w:val="20"/>
        </w:rPr>
        <w:t>の産業別構成比</w:t>
      </w:r>
      <w:r w:rsidRPr="00F674D1">
        <w:rPr>
          <w:rFonts w:ascii="HGSｺﾞｼｯｸM" w:eastAsia="HGSｺﾞｼｯｸM" w:hAnsi="HG丸ｺﾞｼｯｸM-PRO" w:hint="eastAsia"/>
          <w:sz w:val="20"/>
        </w:rPr>
        <w:t>）。</w:t>
      </w:r>
    </w:p>
    <w:p w:rsidR="00D772B2" w:rsidRPr="00F674D1" w:rsidRDefault="00D772B2" w:rsidP="00D772B2">
      <w:pPr>
        <w:jc w:val="left"/>
        <w:rPr>
          <w:rFonts w:ascii="HGSｺﾞｼｯｸM" w:eastAsia="HGSｺﾞｼｯｸM" w:hAnsi="HG丸ｺﾞｼｯｸM-PRO"/>
          <w:sz w:val="20"/>
        </w:rPr>
      </w:pPr>
    </w:p>
    <w:p w:rsidR="00D772B2" w:rsidRPr="00F674D1" w:rsidRDefault="00D772B2" w:rsidP="00D772B2">
      <w:pPr>
        <w:jc w:val="left"/>
        <w:rPr>
          <w:rFonts w:ascii="HGSｺﾞｼｯｸM" w:eastAsia="HGSｺﾞｼｯｸM" w:hAnsi="HG丸ｺﾞｼｯｸM-PRO"/>
          <w:sz w:val="20"/>
        </w:rPr>
      </w:pPr>
      <w:r w:rsidRPr="00F674D1">
        <w:rPr>
          <w:rFonts w:ascii="HGSｺﾞｼｯｸM" w:eastAsia="HGSｺﾞｼｯｸM" w:hAnsi="HG丸ｺﾞｼｯｸM-PRO" w:hint="eastAsia"/>
          <w:sz w:val="20"/>
        </w:rPr>
        <w:t xml:space="preserve">　昭和45年度（大阪万博開催の年）には、製造業が構成比4割弱</w:t>
      </w:r>
      <w:r w:rsidR="00BA638E" w:rsidRPr="00F674D1">
        <w:rPr>
          <w:rFonts w:ascii="HGSｺﾞｼｯｸM" w:eastAsia="HGSｺﾞｼｯｸM" w:hAnsi="HG丸ｺﾞｼｯｸM-PRO" w:hint="eastAsia"/>
          <w:sz w:val="20"/>
        </w:rPr>
        <w:t>でしたが、</w:t>
      </w:r>
      <w:r w:rsidRPr="00F674D1">
        <w:rPr>
          <w:rFonts w:ascii="HGSｺﾞｼｯｸM" w:eastAsia="HGSｺﾞｼｯｸM" w:hAnsi="HG丸ｺﾞｼｯｸM-PRO" w:hint="eastAsia"/>
          <w:sz w:val="20"/>
        </w:rPr>
        <w:t>20年後の平成2</w:t>
      </w:r>
      <w:r w:rsidR="00BA638E" w:rsidRPr="00F674D1">
        <w:rPr>
          <w:rFonts w:ascii="HGSｺﾞｼｯｸM" w:eastAsia="HGSｺﾞｼｯｸM" w:hAnsi="HG丸ｺﾞｼｯｸM-PRO" w:hint="eastAsia"/>
          <w:sz w:val="20"/>
        </w:rPr>
        <w:t>年度（バブル経済期）には、製造業</w:t>
      </w:r>
      <w:r w:rsidRPr="00F674D1">
        <w:rPr>
          <w:rFonts w:ascii="HGSｺﾞｼｯｸM" w:eastAsia="HGSｺﾞｼｯｸM" w:hAnsi="HG丸ｺﾞｼｯｸM-PRO" w:hint="eastAsia"/>
          <w:sz w:val="20"/>
        </w:rPr>
        <w:t>が</w:t>
      </w:r>
      <w:r w:rsidR="00BA638E" w:rsidRPr="00F674D1">
        <w:rPr>
          <w:rFonts w:ascii="HGSｺﾞｼｯｸM" w:eastAsia="HGSｺﾞｼｯｸM" w:hAnsi="HG丸ｺﾞｼｯｸM-PRO" w:hint="eastAsia"/>
          <w:sz w:val="20"/>
        </w:rPr>
        <w:t>３割以下に</w:t>
      </w:r>
      <w:r w:rsidRPr="00F674D1">
        <w:rPr>
          <w:rFonts w:ascii="HGSｺﾞｼｯｸM" w:eastAsia="HGSｺﾞｼｯｸM" w:hAnsi="HG丸ｺﾞｼｯｸM-PRO" w:hint="eastAsia"/>
          <w:sz w:val="20"/>
        </w:rPr>
        <w:t>減少し、代わってサービス業</w:t>
      </w:r>
      <w:r w:rsidR="00BA638E" w:rsidRPr="00F674D1">
        <w:rPr>
          <w:rFonts w:ascii="HGSｺﾞｼｯｸM" w:eastAsia="HGSｺﾞｼｯｸM" w:hAnsi="HG丸ｺﾞｼｯｸM-PRO" w:hint="eastAsia"/>
          <w:sz w:val="20"/>
        </w:rPr>
        <w:t>が</w:t>
      </w:r>
      <w:r w:rsidRPr="00F674D1">
        <w:rPr>
          <w:rFonts w:ascii="HGSｺﾞｼｯｸM" w:eastAsia="HGSｺﾞｼｯｸM" w:hAnsi="HG丸ｺﾞｼｯｸM-PRO" w:hint="eastAsia"/>
          <w:sz w:val="20"/>
        </w:rPr>
        <w:t>増加</w:t>
      </w:r>
      <w:r w:rsidR="00BA638E" w:rsidRPr="00F674D1">
        <w:rPr>
          <w:rFonts w:ascii="HGSｺﾞｼｯｸM" w:eastAsia="HGSｺﾞｼｯｸM" w:hAnsi="HG丸ｺﾞｼｯｸM-PRO" w:hint="eastAsia"/>
          <w:sz w:val="20"/>
        </w:rPr>
        <w:t>、平成22年度には、製造業は約16％にまで減少する一方で、サービス業は構成比が約25％に増加しました。</w:t>
      </w:r>
    </w:p>
    <w:p w:rsidR="00D772B2" w:rsidRPr="00A1540C" w:rsidRDefault="00D772B2" w:rsidP="00D772B2">
      <w:pPr>
        <w:jc w:val="left"/>
        <w:rPr>
          <w:rFonts w:ascii="HGSｺﾞｼｯｸM" w:eastAsia="HGSｺﾞｼｯｸM" w:hAnsi="HG丸ｺﾞｼｯｸM-PRO"/>
          <w:sz w:val="20"/>
        </w:rPr>
      </w:pPr>
      <w:r>
        <w:rPr>
          <w:rFonts w:ascii="HGSｺﾞｼｯｸM" w:eastAsia="HGSｺﾞｼｯｸM" w:hAnsi="HG丸ｺﾞｼｯｸM-PRO" w:hint="eastAsia"/>
          <w:sz w:val="20"/>
        </w:rPr>
        <w:t xml:space="preserve">  </w:t>
      </w:r>
      <w:r w:rsidR="00BA638E">
        <w:rPr>
          <w:rFonts w:ascii="HGSｺﾞｼｯｸM" w:eastAsia="HGSｺﾞｼｯｸM" w:hAnsi="HG丸ｺﾞｼｯｸM-PRO" w:hint="eastAsia"/>
          <w:sz w:val="20"/>
        </w:rPr>
        <w:t>全国的にも、第三次産業の拡張が見られましたが、平成22年度特化係数では、第三次産業の全てにおいて大阪府の特化係数が１以上であり、全国に比して特化しているのがわかります。</w:t>
      </w:r>
    </w:p>
    <w:p w:rsidR="00D772B2" w:rsidRDefault="00D772B2" w:rsidP="00D772B2">
      <w:pPr>
        <w:jc w:val="left"/>
        <w:rPr>
          <w:rFonts w:ascii="HGSｺﾞｼｯｸM" w:eastAsia="HGSｺﾞｼｯｸM" w:hAnsi="HG丸ｺﾞｼｯｸM-PRO"/>
          <w:sz w:val="20"/>
        </w:rPr>
      </w:pPr>
      <w:r w:rsidRPr="00A1540C">
        <w:rPr>
          <w:rFonts w:ascii="HGSｺﾞｼｯｸM" w:eastAsia="HGSｺﾞｼｯｸM" w:hAnsi="HG丸ｺﾞｼｯｸM-PRO" w:hint="eastAsia"/>
          <w:sz w:val="20"/>
        </w:rPr>
        <w:t xml:space="preserve">　</w:t>
      </w:r>
      <w:r w:rsidR="00BA638E">
        <w:rPr>
          <w:rFonts w:ascii="HGSｺﾞｼｯｸM" w:eastAsia="HGSｺﾞｼｯｸM" w:hAnsi="HG丸ｺﾞｼｯｸM-PRO" w:hint="eastAsia"/>
          <w:sz w:val="20"/>
        </w:rPr>
        <w:t>また</w:t>
      </w:r>
      <w:r w:rsidRPr="00A1540C">
        <w:rPr>
          <w:rFonts w:ascii="HGSｺﾞｼｯｸM" w:eastAsia="HGSｺﾞｼｯｸM" w:hAnsi="HG丸ｺﾞｼｯｸM-PRO" w:hint="eastAsia"/>
          <w:sz w:val="20"/>
        </w:rPr>
        <w:t>、大阪は古くから「商人のまち」といわれますが、卸売・小売業をみると、昭和45年度から平成22年度まで約20％の構成比を保ち、特化係数も1.3から1.5と高いことから、統計上もこれを実証しているといえそうです。</w:t>
      </w:r>
    </w:p>
    <w:p w:rsidR="00D772B2" w:rsidRDefault="00D772B2" w:rsidP="00D772B2">
      <w:pPr>
        <w:jc w:val="left"/>
        <w:rPr>
          <w:rFonts w:ascii="HGSｺﾞｼｯｸM" w:eastAsia="HGSｺﾞｼｯｸM" w:hAnsi="HG丸ｺﾞｼｯｸM-PRO"/>
          <w:sz w:val="20"/>
        </w:rPr>
      </w:pPr>
    </w:p>
    <w:p w:rsidR="00D772B2" w:rsidRDefault="00D772B2" w:rsidP="00D772B2">
      <w:pPr>
        <w:jc w:val="left"/>
        <w:rPr>
          <w:rFonts w:ascii="HGSｺﾞｼｯｸM" w:eastAsia="HGSｺﾞｼｯｸM" w:hAnsi="HG丸ｺﾞｼｯｸM-PRO"/>
          <w:sz w:val="20"/>
        </w:rPr>
      </w:pPr>
      <w:r>
        <w:rPr>
          <w:rFonts w:ascii="HGSｺﾞｼｯｸM" w:eastAsia="HGSｺﾞｼｯｸM" w:hAnsi="HG丸ｺﾞｼｯｸM-PRO" w:hint="eastAsia"/>
          <w:sz w:val="20"/>
        </w:rPr>
        <w:t xml:space="preserve">          [昭和45年度]                    [平成2年度]                    [平成22年度]</w:t>
      </w:r>
    </w:p>
    <w:p w:rsidR="00D772B2" w:rsidRDefault="00D772B2" w:rsidP="00D772B2">
      <w:pPr>
        <w:jc w:val="left"/>
        <w:rPr>
          <w:rFonts w:ascii="HGSｺﾞｼｯｸM" w:eastAsia="HGSｺﾞｼｯｸM" w:hAnsi="HG丸ｺﾞｼｯｸM-PRO"/>
          <w:sz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D89258E" wp14:editId="317267B8">
            <wp:simplePos x="0" y="0"/>
            <wp:positionH relativeFrom="column">
              <wp:posOffset>3813175</wp:posOffset>
            </wp:positionH>
            <wp:positionV relativeFrom="paragraph">
              <wp:posOffset>172093</wp:posOffset>
            </wp:positionV>
            <wp:extent cx="2713990" cy="2146300"/>
            <wp:effectExtent l="0" t="0" r="0" b="0"/>
            <wp:wrapNone/>
            <wp:docPr id="3" name="グラフ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D01BAFD" wp14:editId="166F37C8">
            <wp:simplePos x="0" y="0"/>
            <wp:positionH relativeFrom="column">
              <wp:posOffset>1782739</wp:posOffset>
            </wp:positionH>
            <wp:positionV relativeFrom="paragraph">
              <wp:posOffset>173364</wp:posOffset>
            </wp:positionV>
            <wp:extent cx="2749550" cy="2221865"/>
            <wp:effectExtent l="0" t="0" r="0" b="0"/>
            <wp:wrapNone/>
            <wp:docPr id="6" name="グラフ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3BBAC27" wp14:editId="11C82C5D">
            <wp:simplePos x="0" y="0"/>
            <wp:positionH relativeFrom="column">
              <wp:posOffset>-269429</wp:posOffset>
            </wp:positionH>
            <wp:positionV relativeFrom="paragraph">
              <wp:posOffset>173355</wp:posOffset>
            </wp:positionV>
            <wp:extent cx="2738755" cy="2185670"/>
            <wp:effectExtent l="0" t="0" r="0" b="0"/>
            <wp:wrapNone/>
            <wp:docPr id="7" name="グラフ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2B2" w:rsidRDefault="00D772B2" w:rsidP="00D772B2">
      <w:pPr>
        <w:jc w:val="left"/>
        <w:rPr>
          <w:rFonts w:ascii="HGSｺﾞｼｯｸM" w:eastAsia="HGSｺﾞｼｯｸM" w:hAnsi="HG丸ｺﾞｼｯｸM-PRO"/>
          <w:sz w:val="20"/>
        </w:rPr>
      </w:pPr>
      <w:r>
        <w:rPr>
          <w:rFonts w:ascii="HGSｺﾞｼｯｸM" w:eastAsia="HGSｺﾞｼｯｸM" w:hAnsi="HG丸ｺﾞｼｯｸM-PRO" w:hint="eastAsia"/>
          <w:sz w:val="20"/>
        </w:rPr>
        <w:t xml:space="preserve"> 経済活動別府内総生産(生産側名目)の特化係数</w:t>
      </w:r>
    </w:p>
    <w:p w:rsidR="00D772B2" w:rsidRPr="004E7E55" w:rsidRDefault="00D772B2" w:rsidP="00D772B2">
      <w:pPr>
        <w:jc w:val="left"/>
        <w:rPr>
          <w:rFonts w:ascii="HGSｺﾞｼｯｸM" w:eastAsia="HGSｺﾞｼｯｸM" w:hAnsi="HG丸ｺﾞｼｯｸM-PRO"/>
          <w:sz w:val="20"/>
        </w:rPr>
      </w:pPr>
    </w:p>
    <w:p w:rsidR="00D772B2" w:rsidRDefault="00D772B2" w:rsidP="00D772B2">
      <w:pPr>
        <w:jc w:val="left"/>
        <w:rPr>
          <w:rFonts w:ascii="HGSｺﾞｼｯｸM" w:eastAsia="HGSｺﾞｼｯｸM" w:hAnsi="HG丸ｺﾞｼｯｸM-PRO"/>
          <w:sz w:val="20"/>
        </w:rPr>
      </w:pPr>
    </w:p>
    <w:p w:rsidR="00D772B2" w:rsidRDefault="00D772B2" w:rsidP="00D772B2">
      <w:pPr>
        <w:jc w:val="left"/>
        <w:rPr>
          <w:rFonts w:ascii="HGSｺﾞｼｯｸM" w:eastAsia="HGSｺﾞｼｯｸM" w:hAnsi="HG丸ｺﾞｼｯｸM-PRO"/>
          <w:sz w:val="20"/>
        </w:rPr>
      </w:pPr>
    </w:p>
    <w:p w:rsidR="00D772B2" w:rsidRDefault="00D772B2" w:rsidP="00D772B2">
      <w:pPr>
        <w:jc w:val="left"/>
        <w:rPr>
          <w:rFonts w:ascii="HGSｺﾞｼｯｸM" w:eastAsia="HGSｺﾞｼｯｸM" w:hAnsi="HG丸ｺﾞｼｯｸM-PRO"/>
          <w:sz w:val="20"/>
        </w:rPr>
      </w:pPr>
    </w:p>
    <w:p w:rsidR="00D772B2" w:rsidRDefault="00D772B2" w:rsidP="00D772B2">
      <w:pPr>
        <w:jc w:val="left"/>
        <w:rPr>
          <w:rFonts w:ascii="HGSｺﾞｼｯｸM" w:eastAsia="HGSｺﾞｼｯｸM" w:hAnsi="HG丸ｺﾞｼｯｸM-PRO"/>
          <w:sz w:val="20"/>
        </w:rPr>
      </w:pPr>
    </w:p>
    <w:p w:rsidR="00D772B2" w:rsidRDefault="00D772B2" w:rsidP="00D772B2">
      <w:pPr>
        <w:jc w:val="left"/>
        <w:rPr>
          <w:rFonts w:ascii="HGSｺﾞｼｯｸM" w:eastAsia="HGSｺﾞｼｯｸM" w:hAnsi="HG丸ｺﾞｼｯｸM-PRO"/>
          <w:sz w:val="20"/>
        </w:rPr>
      </w:pPr>
    </w:p>
    <w:p w:rsidR="00D772B2" w:rsidRDefault="00D772B2" w:rsidP="00D772B2">
      <w:pPr>
        <w:jc w:val="left"/>
        <w:rPr>
          <w:rFonts w:ascii="HGSｺﾞｼｯｸM" w:eastAsia="HGSｺﾞｼｯｸM" w:hAnsi="HG丸ｺﾞｼｯｸM-PRO"/>
          <w:sz w:val="20"/>
        </w:rPr>
      </w:pPr>
    </w:p>
    <w:p w:rsidR="00D772B2" w:rsidRDefault="00D772B2" w:rsidP="00D772B2">
      <w:pPr>
        <w:jc w:val="left"/>
        <w:rPr>
          <w:rFonts w:ascii="HGSｺﾞｼｯｸM" w:eastAsia="HGSｺﾞｼｯｸM" w:hAnsi="HG丸ｺﾞｼｯｸM-PRO"/>
          <w:sz w:val="20"/>
        </w:rPr>
      </w:pPr>
    </w:p>
    <w:p w:rsidR="00D772B2" w:rsidRDefault="00D772B2" w:rsidP="00D772B2">
      <w:pPr>
        <w:jc w:val="left"/>
        <w:rPr>
          <w:rFonts w:ascii="HGSｺﾞｼｯｸM" w:eastAsia="HGSｺﾞｼｯｸM" w:hAnsi="HG丸ｺﾞｼｯｸM-PRO"/>
          <w:sz w:val="2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75A973E" wp14:editId="79690CD9">
            <wp:simplePos x="0" y="0"/>
            <wp:positionH relativeFrom="column">
              <wp:posOffset>3463290</wp:posOffset>
            </wp:positionH>
            <wp:positionV relativeFrom="paragraph">
              <wp:posOffset>150495</wp:posOffset>
            </wp:positionV>
            <wp:extent cx="3477895" cy="2123440"/>
            <wp:effectExtent l="0" t="0" r="0" b="0"/>
            <wp:wrapNone/>
            <wp:docPr id="8" name="グラフ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E1ECD2E" wp14:editId="0EB22A5E">
            <wp:simplePos x="0" y="0"/>
            <wp:positionH relativeFrom="column">
              <wp:posOffset>1443990</wp:posOffset>
            </wp:positionH>
            <wp:positionV relativeFrom="paragraph">
              <wp:posOffset>153144</wp:posOffset>
            </wp:positionV>
            <wp:extent cx="3461385" cy="2152015"/>
            <wp:effectExtent l="0" t="0" r="0" b="0"/>
            <wp:wrapNone/>
            <wp:docPr id="9" name="グラフ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41004A7" wp14:editId="558F76D3">
            <wp:simplePos x="0" y="0"/>
            <wp:positionH relativeFrom="column">
              <wp:posOffset>-608965</wp:posOffset>
            </wp:positionH>
            <wp:positionV relativeFrom="paragraph">
              <wp:posOffset>151130</wp:posOffset>
            </wp:positionV>
            <wp:extent cx="3484245" cy="2179955"/>
            <wp:effectExtent l="0" t="0" r="0" b="0"/>
            <wp:wrapNone/>
            <wp:docPr id="10" name="グラフ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SｺﾞｼｯｸM" w:eastAsia="HGSｺﾞｼｯｸM" w:hAnsi="HG丸ｺﾞｼｯｸM-PRO" w:hint="eastAsia"/>
          <w:sz w:val="20"/>
        </w:rPr>
        <w:t xml:space="preserve"> 府内総生産(生産側名目)の構成比 (産業全体＝100)</w:t>
      </w:r>
    </w:p>
    <w:p w:rsidR="00D772B2" w:rsidRDefault="00D772B2" w:rsidP="00D772B2">
      <w:pPr>
        <w:jc w:val="left"/>
        <w:rPr>
          <w:rFonts w:ascii="HGSｺﾞｼｯｸM" w:eastAsia="HGSｺﾞｼｯｸM" w:hAnsi="HG丸ｺﾞｼｯｸM-PRO"/>
          <w:sz w:val="20"/>
        </w:rPr>
      </w:pPr>
    </w:p>
    <w:p w:rsidR="00D772B2" w:rsidRPr="00730129" w:rsidRDefault="00D772B2" w:rsidP="00D772B2">
      <w:pPr>
        <w:jc w:val="left"/>
        <w:rPr>
          <w:rFonts w:ascii="HGSｺﾞｼｯｸM" w:eastAsia="HGSｺﾞｼｯｸM" w:hAnsi="HG丸ｺﾞｼｯｸM-PRO"/>
          <w:sz w:val="20"/>
        </w:rPr>
      </w:pPr>
    </w:p>
    <w:p w:rsidR="00D772B2" w:rsidRDefault="00D772B2" w:rsidP="00F05BF2">
      <w:pPr>
        <w:rPr>
          <w:rFonts w:ascii="HGSｺﾞｼｯｸM" w:eastAsia="HGSｺﾞｼｯｸM" w:hAnsi="HG丸ｺﾞｼｯｸM-PRO"/>
          <w:sz w:val="24"/>
        </w:rPr>
      </w:pPr>
    </w:p>
    <w:p w:rsidR="00D772B2" w:rsidRDefault="00D772B2" w:rsidP="00F05BF2">
      <w:pPr>
        <w:rPr>
          <w:rFonts w:ascii="HGSｺﾞｼｯｸM" w:eastAsia="HGSｺﾞｼｯｸM" w:hAnsi="HG丸ｺﾞｼｯｸM-PRO"/>
          <w:sz w:val="24"/>
        </w:rPr>
      </w:pPr>
    </w:p>
    <w:p w:rsidR="00D772B2" w:rsidRDefault="00D772B2" w:rsidP="00F05BF2">
      <w:pPr>
        <w:rPr>
          <w:rFonts w:ascii="HGSｺﾞｼｯｸM" w:eastAsia="HGSｺﾞｼｯｸM" w:hAnsi="HG丸ｺﾞｼｯｸM-PRO"/>
          <w:sz w:val="24"/>
        </w:rPr>
      </w:pPr>
    </w:p>
    <w:p w:rsidR="00D772B2" w:rsidRDefault="00D772B2" w:rsidP="00F05BF2">
      <w:pPr>
        <w:rPr>
          <w:rFonts w:ascii="HGSｺﾞｼｯｸM" w:eastAsia="HGSｺﾞｼｯｸM" w:hAnsi="HG丸ｺﾞｼｯｸM-PRO"/>
          <w:sz w:val="24"/>
        </w:rPr>
      </w:pPr>
    </w:p>
    <w:p w:rsidR="00D772B2" w:rsidRDefault="00D772B2" w:rsidP="00F05BF2">
      <w:pPr>
        <w:rPr>
          <w:rFonts w:ascii="HGSｺﾞｼｯｸM" w:eastAsia="HGSｺﾞｼｯｸM" w:hAnsi="HG丸ｺﾞｼｯｸM-PRO"/>
          <w:sz w:val="24"/>
        </w:rPr>
      </w:pPr>
    </w:p>
    <w:p w:rsidR="00D772B2" w:rsidRDefault="00D772B2" w:rsidP="00F05BF2">
      <w:pPr>
        <w:rPr>
          <w:rFonts w:ascii="HGSｺﾞｼｯｸM" w:eastAsia="HGSｺﾞｼｯｸM" w:hAnsi="HG丸ｺﾞｼｯｸM-PRO"/>
          <w:sz w:val="24"/>
        </w:rPr>
      </w:pPr>
    </w:p>
    <w:p w:rsidR="00D772B2" w:rsidRDefault="00D772B2" w:rsidP="00F05BF2">
      <w:pPr>
        <w:rPr>
          <w:rFonts w:ascii="HGSｺﾞｼｯｸM" w:eastAsia="HGSｺﾞｼｯｸM" w:hAnsi="HG丸ｺﾞｼｯｸM-PRO"/>
          <w:sz w:val="24"/>
        </w:rPr>
      </w:pPr>
    </w:p>
    <w:p w:rsidR="00BA638E" w:rsidRDefault="00BA638E" w:rsidP="00D772B2">
      <w:pPr>
        <w:rPr>
          <w:rFonts w:ascii="HGSｺﾞｼｯｸM" w:eastAsia="HGSｺﾞｼｯｸM" w:hAnsi="HG丸ｺﾞｼｯｸM-PRO"/>
          <w:sz w:val="22"/>
        </w:rPr>
      </w:pPr>
    </w:p>
    <w:p w:rsidR="00BA638E" w:rsidRDefault="00BA638E" w:rsidP="00D772B2">
      <w:pPr>
        <w:rPr>
          <w:rFonts w:ascii="HGSｺﾞｼｯｸM" w:eastAsia="HGSｺﾞｼｯｸM" w:hAnsi="HG丸ｺﾞｼｯｸM-PRO"/>
          <w:sz w:val="22"/>
        </w:rPr>
      </w:pPr>
      <w:bookmarkStart w:id="0" w:name="_GoBack"/>
      <w:bookmarkEnd w:id="0"/>
    </w:p>
    <w:sectPr w:rsidR="00BA638E" w:rsidSect="00C15775">
      <w:footerReference w:type="default" r:id="rId14"/>
      <w:pgSz w:w="11906" w:h="16838"/>
      <w:pgMar w:top="1134" w:right="1134" w:bottom="1304" w:left="1134" w:header="851" w:footer="992" w:gutter="0"/>
      <w:pgBorders w:offsetFrom="page">
        <w:top w:val="sawtoothGray" w:sz="16" w:space="31" w:color="auto"/>
        <w:left w:val="sawtoothGray" w:sz="16" w:space="31" w:color="auto"/>
        <w:bottom w:val="sawtoothGray" w:sz="16" w:space="31" w:color="auto"/>
        <w:right w:val="sawtoothGray" w:sz="16" w:space="31" w:color="auto"/>
      </w:pgBorders>
      <w:pgNumType w:fmt="numberInDash" w:start="13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11C7" w:rsidRDefault="00D111C7" w:rsidP="00845D01">
      <w:r>
        <w:separator/>
      </w:r>
    </w:p>
  </w:endnote>
  <w:endnote w:type="continuationSeparator" w:id="0">
    <w:p w:rsidR="00D111C7" w:rsidRDefault="00D111C7" w:rsidP="00845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69731260"/>
      <w:docPartObj>
        <w:docPartGallery w:val="Page Numbers (Bottom of Page)"/>
        <w:docPartUnique/>
      </w:docPartObj>
    </w:sdtPr>
    <w:sdtEndPr/>
    <w:sdtContent>
      <w:p w:rsidR="00D111C7" w:rsidRDefault="00D111C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0819" w:rsidRPr="00420819">
          <w:rPr>
            <w:noProof/>
            <w:lang w:val="ja-JP"/>
          </w:rPr>
          <w:t>-</w:t>
        </w:r>
        <w:r w:rsidR="00420819">
          <w:rPr>
            <w:noProof/>
          </w:rPr>
          <w:t xml:space="preserve"> 13 -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11C7" w:rsidRDefault="00D111C7" w:rsidP="00845D01">
      <w:r>
        <w:separator/>
      </w:r>
    </w:p>
  </w:footnote>
  <w:footnote w:type="continuationSeparator" w:id="0">
    <w:p w:rsidR="00D111C7" w:rsidRDefault="00D111C7" w:rsidP="00845D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mirrorMargin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BF2"/>
    <w:rsid w:val="00040BFF"/>
    <w:rsid w:val="00091D20"/>
    <w:rsid w:val="001B40EE"/>
    <w:rsid w:val="001E7942"/>
    <w:rsid w:val="002B78B2"/>
    <w:rsid w:val="002C4BDC"/>
    <w:rsid w:val="00326E21"/>
    <w:rsid w:val="003C37B8"/>
    <w:rsid w:val="00420819"/>
    <w:rsid w:val="0044646B"/>
    <w:rsid w:val="004638A6"/>
    <w:rsid w:val="00492583"/>
    <w:rsid w:val="004E7E55"/>
    <w:rsid w:val="004F0881"/>
    <w:rsid w:val="004F43D4"/>
    <w:rsid w:val="005147B3"/>
    <w:rsid w:val="00536945"/>
    <w:rsid w:val="005710E9"/>
    <w:rsid w:val="00572C44"/>
    <w:rsid w:val="005A089C"/>
    <w:rsid w:val="005D1E2D"/>
    <w:rsid w:val="0063525E"/>
    <w:rsid w:val="00646680"/>
    <w:rsid w:val="006717CE"/>
    <w:rsid w:val="00691B08"/>
    <w:rsid w:val="006C6BFD"/>
    <w:rsid w:val="006D4FD1"/>
    <w:rsid w:val="00707737"/>
    <w:rsid w:val="007224BF"/>
    <w:rsid w:val="00730129"/>
    <w:rsid w:val="007569B9"/>
    <w:rsid w:val="007E39EB"/>
    <w:rsid w:val="008133FA"/>
    <w:rsid w:val="00831D16"/>
    <w:rsid w:val="00845D01"/>
    <w:rsid w:val="0085207A"/>
    <w:rsid w:val="00897425"/>
    <w:rsid w:val="00905FBF"/>
    <w:rsid w:val="0092265F"/>
    <w:rsid w:val="00965BF8"/>
    <w:rsid w:val="00986FCE"/>
    <w:rsid w:val="00990611"/>
    <w:rsid w:val="00994BAA"/>
    <w:rsid w:val="009B0921"/>
    <w:rsid w:val="009C4822"/>
    <w:rsid w:val="009F6F85"/>
    <w:rsid w:val="00A1540C"/>
    <w:rsid w:val="00A45CAB"/>
    <w:rsid w:val="00A77E58"/>
    <w:rsid w:val="00A80BC7"/>
    <w:rsid w:val="00AA41AF"/>
    <w:rsid w:val="00AB67B0"/>
    <w:rsid w:val="00AC6365"/>
    <w:rsid w:val="00AD1EE6"/>
    <w:rsid w:val="00B144AA"/>
    <w:rsid w:val="00BA550A"/>
    <w:rsid w:val="00BA638E"/>
    <w:rsid w:val="00BA7DBD"/>
    <w:rsid w:val="00BC763A"/>
    <w:rsid w:val="00BF14FD"/>
    <w:rsid w:val="00C15775"/>
    <w:rsid w:val="00C20279"/>
    <w:rsid w:val="00C26E28"/>
    <w:rsid w:val="00C673EC"/>
    <w:rsid w:val="00C762E1"/>
    <w:rsid w:val="00CD5E2B"/>
    <w:rsid w:val="00CE05BE"/>
    <w:rsid w:val="00D111C7"/>
    <w:rsid w:val="00D2647F"/>
    <w:rsid w:val="00D34ACE"/>
    <w:rsid w:val="00D772B2"/>
    <w:rsid w:val="00DF633B"/>
    <w:rsid w:val="00E15EA7"/>
    <w:rsid w:val="00E9067D"/>
    <w:rsid w:val="00ED1BAE"/>
    <w:rsid w:val="00EF7454"/>
    <w:rsid w:val="00F05BF2"/>
    <w:rsid w:val="00F32F7D"/>
    <w:rsid w:val="00F674D1"/>
    <w:rsid w:val="00F71E09"/>
    <w:rsid w:val="00FC2BED"/>
    <w:rsid w:val="00FC40DC"/>
    <w:rsid w:val="00FD3AF4"/>
    <w:rsid w:val="00FD6FB6"/>
    <w:rsid w:val="00FF7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5710E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906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9067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45D0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45D01"/>
  </w:style>
  <w:style w:type="paragraph" w:styleId="a7">
    <w:name w:val="footer"/>
    <w:basedOn w:val="a"/>
    <w:link w:val="a8"/>
    <w:uiPriority w:val="99"/>
    <w:unhideWhenUsed/>
    <w:rsid w:val="00845D0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45D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5710E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906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9067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45D0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45D01"/>
  </w:style>
  <w:style w:type="paragraph" w:styleId="a7">
    <w:name w:val="footer"/>
    <w:basedOn w:val="a"/>
    <w:link w:val="a8"/>
    <w:uiPriority w:val="99"/>
    <w:unhideWhenUsed/>
    <w:rsid w:val="00845D0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45D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\\G1041sv0fs001\&#24773;&#22577;&#12539;&#20998;&#26512;g\02&#20998;&#26512;\02_&#24220;&#27665;&#32076;&#28168;&#35336;&#31639;\11&#30906;&#22577;&#38306;&#20418;\&#30906;&#22577;&#38306;&#20418;(&#65320;22&#65289;\06&#30906;&#22577;&#12288;&#21360;&#21047;&#26412;&#21407;&#31295;(H22)\&#12467;&#12521;&#12512;\&#65288;&#29305;&#21270;&#20418;&#25968;&#29992;&#65289;&#22259;&#12539;&#34920;&#65288;&#29983;&#29987;&#65289;.xls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G1041sv0fs001\&#24773;&#22577;&#12539;&#20998;&#26512;g\02&#20998;&#26512;\02_&#24220;&#27665;&#32076;&#28168;&#35336;&#31639;\11&#30906;&#22577;&#38306;&#20418;\&#30906;&#22577;&#38306;&#20418;(&#65320;22&#65289;\06&#30906;&#22577;&#12288;&#21360;&#21047;&#26412;&#21407;&#31295;(H22)\&#12467;&#12521;&#12512;\&#65288;&#29305;&#21270;&#20418;&#25968;&#29992;&#65289;&#22259;&#12539;&#34920;&#65288;&#29983;&#29987;&#65289;.xls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6229554853915593"/>
          <c:y val="8.9655172413793102E-2"/>
          <c:w val="0.44990972561924669"/>
          <c:h val="0.85172413793103452"/>
        </c:manualLayout>
      </c:layout>
      <c:radarChart>
        <c:radarStyle val="filled"/>
        <c:varyColors val="0"/>
        <c:ser>
          <c:idx val="0"/>
          <c:order val="0"/>
          <c:spPr>
            <a:solidFill>
              <a:schemeClr val="accent1">
                <a:lumMod val="40000"/>
                <a:lumOff val="60000"/>
              </a:schemeClr>
            </a:solidFill>
            <a:ln w="25400">
              <a:solidFill>
                <a:schemeClr val="tx2">
                  <a:lumMod val="40000"/>
                  <a:lumOff val="60000"/>
                </a:schemeClr>
              </a:solidFill>
              <a:prstDash val="solid"/>
            </a:ln>
            <a:effectLst/>
          </c:spPr>
          <c:dLbls>
            <c:dLbl>
              <c:idx val="0"/>
              <c:layout>
                <c:manualLayout>
                  <c:x val="2.5719354793831369E-2"/>
                  <c:y val="-0.3036138888888889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5051332537162179"/>
                  <c:y val="-0.241359259259259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5422862803991783"/>
                  <c:y val="-0.1017546296296296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19475134784063575"/>
                  <c:y val="-1.67074074074074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14975253044028536"/>
                  <c:y val="5.62828176405045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.14482394781295788"/>
                  <c:y val="4.73750000000001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.13193205257658511"/>
                  <c:y val="0.1169129629629629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4.2630791614282168E-2"/>
                  <c:y val="9.62333333333334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0.10312930410198996"/>
                  <c:y val="9.97287037037037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0.10085280323566112"/>
                  <c:y val="5.9126729529179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0.12555952363878012"/>
                  <c:y val="4.44959657820549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0.16724390295693867"/>
                  <c:y val="-2.38898148148148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0.12827130056827876"/>
                  <c:y val="-0.1188694444444444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600" b="1" i="0" u="none" strike="noStrike" baseline="0">
                    <a:solidFill>
                      <a:srgbClr val="000000"/>
                    </a:solidFill>
                    <a:latin typeface="ＭＳ Ｐゴシック"/>
                    <a:ea typeface="メイリオ" pitchFamily="50" charset="-128"/>
                    <a:cs typeface="ＭＳ Ｐゴシック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'総括(H22)'!$C$62:$C$74</c:f>
              <c:strCache>
                <c:ptCount val="13"/>
                <c:pt idx="0">
                  <c:v>農林水産業</c:v>
                </c:pt>
                <c:pt idx="1">
                  <c:v>鉱業</c:v>
                </c:pt>
                <c:pt idx="2">
                  <c:v>製造業</c:v>
                </c:pt>
                <c:pt idx="3">
                  <c:v>建設業</c:v>
                </c:pt>
                <c:pt idx="4">
                  <c:v>電気･ガス･水道業</c:v>
                </c:pt>
                <c:pt idx="5">
                  <c:v>卸売 ・小売業</c:v>
                </c:pt>
                <c:pt idx="6">
                  <c:v>金融・保険業</c:v>
                </c:pt>
                <c:pt idx="7">
                  <c:v>不動産業</c:v>
                </c:pt>
                <c:pt idx="8">
                  <c:v>運輸業</c:v>
                </c:pt>
                <c:pt idx="9">
                  <c:v>情報通信業</c:v>
                </c:pt>
                <c:pt idx="10">
                  <c:v>サービス業</c:v>
                </c:pt>
                <c:pt idx="11">
                  <c:v>政府サービス</c:v>
                </c:pt>
                <c:pt idx="12">
                  <c:v>対家計民間非営利</c:v>
                </c:pt>
              </c:strCache>
            </c:strRef>
          </c:cat>
          <c:val>
            <c:numRef>
              <c:f>'総括(H22)'!$D$62:$D$74</c:f>
              <c:numCache>
                <c:formatCode>0.00_ </c:formatCode>
                <c:ptCount val="13"/>
                <c:pt idx="0">
                  <c:v>8.7988924249008449E-2</c:v>
                </c:pt>
                <c:pt idx="1">
                  <c:v>3.9082775942553556E-2</c:v>
                </c:pt>
                <c:pt idx="2">
                  <c:v>0.75794380880786527</c:v>
                </c:pt>
                <c:pt idx="3">
                  <c:v>0.69300191442960102</c:v>
                </c:pt>
                <c:pt idx="4">
                  <c:v>1.2206721177346502</c:v>
                </c:pt>
                <c:pt idx="5">
                  <c:v>1.2957062833101092</c:v>
                </c:pt>
                <c:pt idx="6">
                  <c:v>0.99534171253109294</c:v>
                </c:pt>
                <c:pt idx="7">
                  <c:v>1.1046516165689488</c:v>
                </c:pt>
                <c:pt idx="8">
                  <c:v>0.99912461538041175</c:v>
                </c:pt>
                <c:pt idx="9">
                  <c:v>1.2557830610549248</c:v>
                </c:pt>
                <c:pt idx="10">
                  <c:v>1.164961316937601</c:v>
                </c:pt>
                <c:pt idx="11">
                  <c:v>0.70721798293388383</c:v>
                </c:pt>
                <c:pt idx="12">
                  <c:v>0.88769587845775821</c:v>
                </c:pt>
              </c:numCache>
            </c:numRef>
          </c:val>
        </c:ser>
        <c:ser>
          <c:idx val="1"/>
          <c:order val="1"/>
          <c:spPr>
            <a:noFill/>
            <a:ln w="19050" cmpd="sng">
              <a:solidFill>
                <a:srgbClr val="000000"/>
              </a:solidFill>
              <a:prstDash val="solid"/>
            </a:ln>
          </c:spPr>
          <c:val>
            <c:numRef>
              <c:f>'総括(H22)'!$G$62:$G$74</c:f>
              <c:numCache>
                <c:formatCode>General</c:formatCode>
                <c:ptCount val="13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6002048"/>
        <c:axId val="96003584"/>
      </c:radarChart>
      <c:catAx>
        <c:axId val="96002048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500" b="0" i="0" u="none" strike="noStrike" baseline="0">
                <a:solidFill>
                  <a:srgbClr val="000000"/>
                </a:solidFill>
                <a:latin typeface="ＭＳ 明朝"/>
                <a:ea typeface="メイリオ" pitchFamily="50" charset="-128"/>
                <a:cs typeface="ＭＳ 明朝"/>
              </a:defRPr>
            </a:pPr>
            <a:endParaRPr lang="ja-JP"/>
          </a:p>
        </c:txPr>
        <c:crossAx val="96003584"/>
        <c:crosses val="autoZero"/>
        <c:auto val="0"/>
        <c:lblAlgn val="ctr"/>
        <c:lblOffset val="100"/>
        <c:noMultiLvlLbl val="0"/>
      </c:catAx>
      <c:valAx>
        <c:axId val="96003584"/>
        <c:scaling>
          <c:orientation val="minMax"/>
          <c:max val="1.6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_ " sourceLinked="0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ysDash"/>
          </a:ln>
        </c:spPr>
        <c:txPr>
          <a:bodyPr rot="0" vert="horz"/>
          <a:lstStyle/>
          <a:p>
            <a:pPr>
              <a:defRPr sz="600" b="1" i="0" u="none" strike="noStrike" baseline="0">
                <a:solidFill>
                  <a:srgbClr val="000000"/>
                </a:solidFill>
                <a:latin typeface="ｺﾞｼｯｸ"/>
                <a:ea typeface="ｺﾞｼｯｸ"/>
                <a:cs typeface="ｺﾞｼｯｸ"/>
              </a:defRPr>
            </a:pPr>
            <a:endParaRPr lang="ja-JP"/>
          </a:p>
        </c:txPr>
        <c:crossAx val="96002048"/>
        <c:crosses val="autoZero"/>
        <c:crossBetween val="between"/>
        <c:majorUnit val="0.5"/>
        <c:minorUnit val="0.5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ＭＳ Ｐゴシック"/>
          <a:ea typeface="ＭＳ Ｐゴシック"/>
          <a:cs typeface="ＭＳ Ｐゴシック"/>
        </a:defRPr>
      </a:pPr>
      <a:endParaRPr lang="ja-JP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6229554853915593"/>
          <c:y val="8.9655172413793102E-2"/>
          <c:w val="0.44990972561924669"/>
          <c:h val="0.85172413793103452"/>
        </c:manualLayout>
      </c:layout>
      <c:radarChart>
        <c:radarStyle val="filled"/>
        <c:varyColors val="0"/>
        <c:ser>
          <c:idx val="0"/>
          <c:order val="0"/>
          <c:spPr>
            <a:solidFill>
              <a:schemeClr val="accent1">
                <a:lumMod val="40000"/>
                <a:lumOff val="60000"/>
              </a:schemeClr>
            </a:solidFill>
            <a:ln w="25400">
              <a:solidFill>
                <a:schemeClr val="tx2">
                  <a:lumMod val="40000"/>
                  <a:lumOff val="60000"/>
                </a:schemeClr>
              </a:solidFill>
              <a:prstDash val="solid"/>
            </a:ln>
            <a:effectLst/>
          </c:spPr>
          <c:dLbls>
            <c:dLbl>
              <c:idx val="0"/>
              <c:layout>
                <c:manualLayout>
                  <c:x val="2.5719354793831369E-2"/>
                  <c:y val="-0.3036138888888889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5051332537162179"/>
                  <c:y val="-0.241359259259259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2641204654346347"/>
                  <c:y val="-6.69010364137586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13448213552361396"/>
                  <c:y val="3.55726072811051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19593566062697143"/>
                  <c:y val="6.77128708950441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.11700698151950727"/>
                  <c:y val="6.71228735084885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5.3064855024768008E-2"/>
                  <c:y val="7.54057255178670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7.5083693404676063E-2"/>
                  <c:y val="0.1021360890508110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8.4585352498288885E-2"/>
                  <c:y val="6.48747718165347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0.11490342621125429"/>
                  <c:y val="4.75089461216672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0.18590045230439597"/>
                  <c:y val="-1.36878361545717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0.15784725217261023"/>
                  <c:y val="-0.1000629108555876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0.12827130056827876"/>
                  <c:y val="-0.1188694444444444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600" b="1" i="0" u="none" strike="noStrike" baseline="0">
                    <a:solidFill>
                      <a:srgbClr val="000000"/>
                    </a:solidFill>
                    <a:latin typeface="ＭＳ Ｐゴシック"/>
                    <a:ea typeface="メイリオ" pitchFamily="50" charset="-128"/>
                    <a:cs typeface="ＭＳ Ｐゴシック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'総括 (H２)'!$C$62:$C$73</c:f>
              <c:strCache>
                <c:ptCount val="12"/>
                <c:pt idx="0">
                  <c:v>農林水産業</c:v>
                </c:pt>
                <c:pt idx="1">
                  <c:v>鉱業</c:v>
                </c:pt>
                <c:pt idx="2">
                  <c:v>製造業</c:v>
                </c:pt>
                <c:pt idx="3">
                  <c:v>建設業</c:v>
                </c:pt>
                <c:pt idx="4">
                  <c:v>電気･ガス･水道業</c:v>
                </c:pt>
                <c:pt idx="5">
                  <c:v>卸売 ・小売業</c:v>
                </c:pt>
                <c:pt idx="6">
                  <c:v>金融・保険業</c:v>
                </c:pt>
                <c:pt idx="7">
                  <c:v>不動産業</c:v>
                </c:pt>
                <c:pt idx="8">
                  <c:v>運輸・通信業</c:v>
                </c:pt>
                <c:pt idx="9">
                  <c:v>サービス業</c:v>
                </c:pt>
                <c:pt idx="10">
                  <c:v>政府サービス</c:v>
                </c:pt>
                <c:pt idx="11">
                  <c:v>対家計民間非営利</c:v>
                </c:pt>
              </c:strCache>
            </c:strRef>
          </c:cat>
          <c:val>
            <c:numRef>
              <c:f>'総括 (H２)'!$D$62:$D$73</c:f>
              <c:numCache>
                <c:formatCode>0.00_ </c:formatCode>
                <c:ptCount val="12"/>
                <c:pt idx="0">
                  <c:v>5.2331290658743576E-2</c:v>
                </c:pt>
                <c:pt idx="1">
                  <c:v>6.1317520359606519E-2</c:v>
                </c:pt>
                <c:pt idx="2">
                  <c:v>0.96008437451136908</c:v>
                </c:pt>
                <c:pt idx="3">
                  <c:v>0.58538317456153144</c:v>
                </c:pt>
                <c:pt idx="4">
                  <c:v>0.96137254879106071</c:v>
                </c:pt>
                <c:pt idx="5">
                  <c:v>1.575982134507945</c:v>
                </c:pt>
                <c:pt idx="6">
                  <c:v>1.2803332658783366</c:v>
                </c:pt>
                <c:pt idx="7">
                  <c:v>0.99265257000466678</c:v>
                </c:pt>
                <c:pt idx="8">
                  <c:v>1.0119489032427627</c:v>
                </c:pt>
                <c:pt idx="9">
                  <c:v>1.1527001156334558</c:v>
                </c:pt>
                <c:pt idx="10">
                  <c:v>0.74367459547762194</c:v>
                </c:pt>
                <c:pt idx="11">
                  <c:v>1.0097549331748481</c:v>
                </c:pt>
              </c:numCache>
            </c:numRef>
          </c:val>
        </c:ser>
        <c:ser>
          <c:idx val="1"/>
          <c:order val="1"/>
          <c:spPr>
            <a:noFill/>
            <a:ln w="19050">
              <a:solidFill>
                <a:schemeClr val="tx1"/>
              </a:solidFill>
            </a:ln>
          </c:spPr>
          <c:val>
            <c:numRef>
              <c:f>'総括 (H２)'!$G$62:$G$73</c:f>
              <c:numCache>
                <c:formatCode>General</c:formatCode>
                <c:ptCount val="12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1361664"/>
        <c:axId val="71363200"/>
      </c:radarChart>
      <c:catAx>
        <c:axId val="71361664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500" b="0" i="0" u="none" strike="noStrike" baseline="0">
                <a:solidFill>
                  <a:srgbClr val="000000"/>
                </a:solidFill>
                <a:latin typeface="ＭＳ 明朝"/>
                <a:ea typeface="メイリオ" pitchFamily="50" charset="-128"/>
                <a:cs typeface="ＭＳ 明朝"/>
              </a:defRPr>
            </a:pPr>
            <a:endParaRPr lang="ja-JP"/>
          </a:p>
        </c:txPr>
        <c:crossAx val="71363200"/>
        <c:crosses val="autoZero"/>
        <c:auto val="0"/>
        <c:lblAlgn val="ctr"/>
        <c:lblOffset val="100"/>
        <c:noMultiLvlLbl val="0"/>
      </c:catAx>
      <c:valAx>
        <c:axId val="71363200"/>
        <c:scaling>
          <c:orientation val="minMax"/>
          <c:max val="1.6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_ " sourceLinked="0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ysDash"/>
          </a:ln>
        </c:spPr>
        <c:txPr>
          <a:bodyPr rot="0" vert="horz"/>
          <a:lstStyle/>
          <a:p>
            <a:pPr>
              <a:defRPr sz="600" b="1" i="0" u="none" strike="noStrike" baseline="0">
                <a:solidFill>
                  <a:srgbClr val="000000"/>
                </a:solidFill>
                <a:latin typeface="ｺﾞｼｯｸ"/>
                <a:ea typeface="ｺﾞｼｯｸ"/>
                <a:cs typeface="ｺﾞｼｯｸ"/>
              </a:defRPr>
            </a:pPr>
            <a:endParaRPr lang="ja-JP"/>
          </a:p>
        </c:txPr>
        <c:crossAx val="71361664"/>
        <c:crosses val="autoZero"/>
        <c:crossBetween val="between"/>
        <c:majorUnit val="0.5"/>
        <c:minorUnit val="0.5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ＭＳ Ｐゴシック"/>
          <a:ea typeface="ＭＳ Ｐゴシック"/>
          <a:cs typeface="ＭＳ Ｐゴシック"/>
        </a:defRPr>
      </a:pPr>
      <a:endParaRPr lang="ja-JP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6229554853915593"/>
          <c:y val="8.9655172413793102E-2"/>
          <c:w val="0.44990972561924669"/>
          <c:h val="0.85172413793103452"/>
        </c:manualLayout>
      </c:layout>
      <c:radarChart>
        <c:radarStyle val="filled"/>
        <c:varyColors val="0"/>
        <c:ser>
          <c:idx val="0"/>
          <c:order val="0"/>
          <c:spPr>
            <a:solidFill>
              <a:schemeClr val="accent1">
                <a:lumMod val="40000"/>
                <a:lumOff val="60000"/>
              </a:schemeClr>
            </a:solidFill>
            <a:ln w="25400">
              <a:solidFill>
                <a:schemeClr val="tx2">
                  <a:lumMod val="40000"/>
                  <a:lumOff val="60000"/>
                </a:schemeClr>
              </a:solidFill>
              <a:prstDash val="solid"/>
            </a:ln>
            <a:effectLst/>
          </c:spPr>
          <c:dLbls>
            <c:dLbl>
              <c:idx val="0"/>
              <c:layout>
                <c:manualLayout>
                  <c:x val="2.5719354793831369E-2"/>
                  <c:y val="-0.3036138888888889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5051332537162179"/>
                  <c:y val="-0.241359259259259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2641204654346347"/>
                  <c:y val="-6.69010364137586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13448213552361396"/>
                  <c:y val="3.55726072811051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14975253044028536"/>
                  <c:y val="5.62828176405045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.11700698151950727"/>
                  <c:y val="6.71228735084885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3.9210038786219481E-2"/>
                  <c:y val="2.3969841132622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7.5083550079853983E-2"/>
                  <c:y val="0.107851249308760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8.4585352498288885E-2"/>
                  <c:y val="6.48747718165347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0.15184996577686516"/>
                  <c:y val="4.75088151657900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0.20437326032397901"/>
                  <c:y val="-1.94027413576156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0.12551914214008669"/>
                  <c:y val="-0.1400683990085482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0.12827130056827876"/>
                  <c:y val="-0.1188694444444444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600" b="1" i="0" u="none" strike="noStrike" baseline="0">
                    <a:solidFill>
                      <a:srgbClr val="000000"/>
                    </a:solidFill>
                    <a:latin typeface="ＭＳ Ｐゴシック"/>
                    <a:ea typeface="メイリオ" pitchFamily="50" charset="-128"/>
                    <a:cs typeface="ＭＳ Ｐゴシック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'総括 (S45)'!$C$61:$C$72</c:f>
              <c:strCache>
                <c:ptCount val="12"/>
                <c:pt idx="0">
                  <c:v>農林水産業</c:v>
                </c:pt>
                <c:pt idx="1">
                  <c:v>鉱業</c:v>
                </c:pt>
                <c:pt idx="2">
                  <c:v>製造業</c:v>
                </c:pt>
                <c:pt idx="3">
                  <c:v>建設業</c:v>
                </c:pt>
                <c:pt idx="4">
                  <c:v>電気･ガス･水道業</c:v>
                </c:pt>
                <c:pt idx="5">
                  <c:v>卸売 ・小売業</c:v>
                </c:pt>
                <c:pt idx="6">
                  <c:v>金融・保険業</c:v>
                </c:pt>
                <c:pt idx="7">
                  <c:v>不動産業</c:v>
                </c:pt>
                <c:pt idx="8">
                  <c:v>運輸業</c:v>
                </c:pt>
                <c:pt idx="9">
                  <c:v>サービス業</c:v>
                </c:pt>
                <c:pt idx="10">
                  <c:v>政府サービス</c:v>
                </c:pt>
                <c:pt idx="11">
                  <c:v>対家計民間非営利</c:v>
                </c:pt>
              </c:strCache>
            </c:strRef>
          </c:cat>
          <c:val>
            <c:numRef>
              <c:f>'総括 (S45)'!$D$61:$D$72</c:f>
              <c:numCache>
                <c:formatCode>0.00_ </c:formatCode>
                <c:ptCount val="12"/>
                <c:pt idx="0">
                  <c:v>7.2864212096475853E-2</c:v>
                </c:pt>
                <c:pt idx="1">
                  <c:v>4.9018129417754706E-2</c:v>
                </c:pt>
                <c:pt idx="2">
                  <c:v>1.0543600402596247</c:v>
                </c:pt>
                <c:pt idx="3">
                  <c:v>1.0776177108516634</c:v>
                </c:pt>
                <c:pt idx="4">
                  <c:v>1.1228139133312462</c:v>
                </c:pt>
                <c:pt idx="5">
                  <c:v>1.562904420863894</c:v>
                </c:pt>
                <c:pt idx="6">
                  <c:v>1.5610778147393922</c:v>
                </c:pt>
                <c:pt idx="7">
                  <c:v>0.88566680760426475</c:v>
                </c:pt>
                <c:pt idx="8">
                  <c:v>1.0466253812662543</c:v>
                </c:pt>
                <c:pt idx="9">
                  <c:v>0.88003719687324899</c:v>
                </c:pt>
                <c:pt idx="10">
                  <c:v>0.61594318416643268</c:v>
                </c:pt>
                <c:pt idx="11">
                  <c:v>1.0039655072940177</c:v>
                </c:pt>
              </c:numCache>
            </c:numRef>
          </c:val>
        </c:ser>
        <c:ser>
          <c:idx val="1"/>
          <c:order val="1"/>
          <c:spPr>
            <a:noFill/>
            <a:ln w="19050">
              <a:solidFill>
                <a:schemeClr val="tx1"/>
              </a:solidFill>
            </a:ln>
          </c:spPr>
          <c:val>
            <c:numRef>
              <c:f>'総括 (S45)'!$G$61:$G$72</c:f>
              <c:numCache>
                <c:formatCode>General</c:formatCode>
                <c:ptCount val="12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9245056"/>
        <c:axId val="99169024"/>
      </c:radarChart>
      <c:catAx>
        <c:axId val="99245056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500" b="0" i="0" u="none" strike="noStrike" baseline="0">
                <a:solidFill>
                  <a:srgbClr val="000000"/>
                </a:solidFill>
                <a:latin typeface="ＭＳ 明朝"/>
                <a:ea typeface="メイリオ" pitchFamily="50" charset="-128"/>
                <a:cs typeface="ＭＳ 明朝"/>
              </a:defRPr>
            </a:pPr>
            <a:endParaRPr lang="ja-JP"/>
          </a:p>
        </c:txPr>
        <c:crossAx val="99169024"/>
        <c:crosses val="autoZero"/>
        <c:auto val="0"/>
        <c:lblAlgn val="ctr"/>
        <c:lblOffset val="100"/>
        <c:noMultiLvlLbl val="0"/>
      </c:catAx>
      <c:valAx>
        <c:axId val="99169024"/>
        <c:scaling>
          <c:orientation val="minMax"/>
          <c:max val="1.6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_ " sourceLinked="0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ysDash"/>
          </a:ln>
        </c:spPr>
        <c:txPr>
          <a:bodyPr rot="0" vert="horz"/>
          <a:lstStyle/>
          <a:p>
            <a:pPr>
              <a:defRPr sz="600" b="1" i="0" u="none" strike="noStrike" baseline="0">
                <a:solidFill>
                  <a:srgbClr val="000000"/>
                </a:solidFill>
                <a:latin typeface="ｺﾞｼｯｸ"/>
                <a:ea typeface="ｺﾞｼｯｸ"/>
                <a:cs typeface="ｺﾞｼｯｸ"/>
              </a:defRPr>
            </a:pPr>
            <a:endParaRPr lang="ja-JP"/>
          </a:p>
        </c:txPr>
        <c:crossAx val="99245056"/>
        <c:crosses val="autoZero"/>
        <c:crossBetween val="between"/>
        <c:majorUnit val="0.5"/>
        <c:minorUnit val="0.5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ＭＳ Ｐゴシック"/>
          <a:ea typeface="ＭＳ Ｐゴシック"/>
          <a:cs typeface="ＭＳ Ｐゴシック"/>
        </a:defRPr>
      </a:pPr>
      <a:endParaRPr lang="ja-JP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6666722670368509"/>
          <c:y val="0.21958488789075234"/>
          <c:w val="0.42795788801639789"/>
          <c:h val="0.59050530662513134"/>
        </c:manualLayout>
      </c:layout>
      <c:pieChart>
        <c:varyColors val="1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noFill/>
              <a:ln w="25400">
                <a:noFill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0000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pattFill prst="ltVert">
                <a:fgClr>
                  <a:srgbClr xmlns:mc="http://schemas.openxmlformats.org/markup-compatibility/2006" xmlns:a14="http://schemas.microsoft.com/office/drawing/2010/main" val="969696" mc:Ignorable="a14" a14:legacySpreadsheetColorIndex="55"/>
                </a:fgClr>
                <a:bgClr>
                  <a:srgbClr xmlns:mc="http://schemas.openxmlformats.org/markup-compatibility/2006" xmlns:a14="http://schemas.microsoft.com/office/drawing/2010/main" val="FFFFFF" mc:Ignorable="a14" a14:legacySpreadsheetColorIndex="9"/>
                </a:bgClr>
              </a:patt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pattFill prst="ltHorz">
                <a:fgClr>
                  <a:schemeClr val="tx1"/>
                </a:fgClr>
                <a:bgClr>
                  <a:schemeClr val="bg1"/>
                </a:bgClr>
              </a:patt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pattFill prst="pct50">
                <a:fgClr>
                  <a:srgbClr xmlns:mc="http://schemas.openxmlformats.org/markup-compatibility/2006" xmlns:a14="http://schemas.microsoft.com/office/drawing/2010/main" val="33CCCC" mc:Ignorable="a14" a14:legacySpreadsheetColorIndex="49"/>
                </a:fgClr>
                <a:bgClr>
                  <a:srgbClr xmlns:mc="http://schemas.openxmlformats.org/markup-compatibility/2006" xmlns:a14="http://schemas.microsoft.com/office/drawing/2010/main" val="FFFFFF" mc:Ignorable="a14" a14:legacySpreadsheetColorIndex="9"/>
                </a:bgClr>
              </a:patt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6"/>
            <c:bubble3D val="0"/>
            <c:spPr>
              <a:pattFill prst="ltVert">
                <a:fgClr>
                  <a:schemeClr val="bg2">
                    <a:lumMod val="50000"/>
                  </a:schemeClr>
                </a:fgClr>
                <a:bgClr>
                  <a:schemeClr val="bg1"/>
                </a:bgClr>
              </a:patt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7"/>
            <c:bubble3D val="0"/>
            <c:spPr>
              <a:pattFill prst="horzBrick">
                <a:fgClr>
                  <a:srgbClr xmlns:mc="http://schemas.openxmlformats.org/markup-compatibility/2006" xmlns:a14="http://schemas.microsoft.com/office/drawing/2010/main" val="808080" mc:Ignorable="a14" a14:legacySpreadsheetColorIndex="23"/>
                </a:fgClr>
                <a:bgClr>
                  <a:srgbClr xmlns:mc="http://schemas.openxmlformats.org/markup-compatibility/2006" xmlns:a14="http://schemas.microsoft.com/office/drawing/2010/main" val="FFFFFF" mc:Ignorable="a14" a14:legacySpreadsheetColorIndex="9"/>
                </a:bgClr>
              </a:patt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8"/>
            <c:bubble3D val="0"/>
            <c:spPr>
              <a:pattFill prst="wdDnDiag">
                <a:fgClr>
                  <a:schemeClr val="accent2">
                    <a:lumMod val="60000"/>
                    <a:lumOff val="40000"/>
                  </a:schemeClr>
                </a:fgClr>
                <a:bgClr>
                  <a:srgbClr xmlns:mc="http://schemas.openxmlformats.org/markup-compatibility/2006" xmlns:a14="http://schemas.microsoft.com/office/drawing/2010/main" val="FFFFFF" mc:Ignorable="a14" a14:legacySpreadsheetColorIndex="9"/>
                </a:bgClr>
              </a:patt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9"/>
            <c:bubble3D val="0"/>
            <c:spPr>
              <a:pattFill prst="dashHorz">
                <a:fgClr>
                  <a:schemeClr val="tx2">
                    <a:lumMod val="75000"/>
                  </a:schemeClr>
                </a:fgClr>
                <a:bgClr>
                  <a:schemeClr val="bg1"/>
                </a:bgClr>
              </a:patt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0"/>
            <c:bubble3D val="0"/>
            <c:spPr>
              <a:solidFill>
                <a:schemeClr val="bg1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3.9249933279754956E-2"/>
                  <c:y val="-8.8171435900014042E-2"/>
                </c:manualLayout>
              </c:layout>
              <c:tx>
                <c:rich>
                  <a:bodyPr/>
                  <a:lstStyle/>
                  <a:p>
                    <a:pPr>
                      <a:defRPr sz="500" b="0" i="0" u="none" strike="noStrike" baseline="0">
                        <a:solidFill>
                          <a:srgbClr val="000000"/>
                        </a:solidFill>
                        <a:latin typeface="ＭＳ Ｐゴシック"/>
                        <a:ea typeface="ＭＳ Ｐゴシック"/>
                        <a:cs typeface="ＭＳ Ｐゴシック"/>
                      </a:defRPr>
                    </a:pPr>
                    <a:r>
                      <a:rPr lang="ja-JP" altLang="en-US" sz="500" b="0" i="0" u="none" strike="noStrike" baseline="0">
                        <a:solidFill>
                          <a:srgbClr val="000000"/>
                        </a:solidFill>
                        <a:latin typeface="ＭＳ Ｐゴシック"/>
                        <a:ea typeface="ＭＳ Ｐゴシック"/>
                      </a:rPr>
                      <a:t>農林水産業 </a:t>
                    </a:r>
                    <a:r>
                      <a:rPr lang="en-US" altLang="ja-JP" sz="500" b="0" i="0" u="none" strike="noStrike" baseline="0">
                        <a:solidFill>
                          <a:srgbClr val="000000"/>
                        </a:solidFill>
                        <a:latin typeface="ＭＳ Ｐゴシック"/>
                        <a:ea typeface="ＭＳ Ｐゴシック"/>
                      </a:rPr>
                      <a:t>0.1%</a:t>
                    </a:r>
                    <a:endParaRPr lang="en-US" altLang="ja-JP" sz="825" b="0" i="0" u="none" strike="noStrike" baseline="0">
                      <a:solidFill>
                        <a:srgbClr val="000000"/>
                      </a:solidFill>
                      <a:latin typeface="ＭＳ Ｐゴシック"/>
                      <a:ea typeface="ＭＳ Ｐゴシック"/>
                    </a:endParaRPr>
                  </a:p>
                </c:rich>
              </c:tx>
              <c:spPr>
                <a:noFill/>
                <a:ln w="25400">
                  <a:noFill/>
                </a:ln>
              </c:spPr>
              <c:dLblPos val="bestFit"/>
              <c:showLegendKey val="1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6673623821361444"/>
                  <c:y val="-1.901682194248277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1.6042609114252593E-2"/>
                  <c:y val="3.366274391278520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4.753873788216012E-3"/>
                  <c:y val="-5.626132502039343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2.3532589686618421E-2"/>
                  <c:y val="-1.3132761135576487E-2"/>
                </c:manualLayout>
              </c:layout>
              <c:tx>
                <c:rich>
                  <a:bodyPr/>
                  <a:lstStyle/>
                  <a:p>
                    <a:pPr>
                      <a:defRPr sz="500" b="0" i="0" u="none" strike="noStrike" baseline="0">
                        <a:solidFill>
                          <a:srgbClr val="000000"/>
                        </a:solidFill>
                        <a:latin typeface="ＭＳ Ｐゴシック"/>
                        <a:ea typeface="ＭＳ Ｐゴシック"/>
                        <a:cs typeface="ＭＳ Ｐゴシック"/>
                      </a:defRPr>
                    </a:pPr>
                    <a:r>
                      <a:rPr lang="ja-JP" altLang="en-US" sz="500" b="0" i="0" u="none" strike="noStrike" baseline="0">
                        <a:solidFill>
                          <a:srgbClr val="000000"/>
                        </a:solidFill>
                        <a:latin typeface="ＭＳ Ｐゴシック"/>
                        <a:ea typeface="ＭＳ Ｐゴシック"/>
                      </a:rPr>
                      <a:t>電気･ガス・</a:t>
                    </a:r>
                  </a:p>
                  <a:p>
                    <a:pPr>
                      <a:defRPr sz="500" b="0" i="0" u="none" strike="noStrike" baseline="0">
                        <a:solidFill>
                          <a:srgbClr val="000000"/>
                        </a:solidFill>
                        <a:latin typeface="ＭＳ Ｐゴシック"/>
                        <a:ea typeface="ＭＳ Ｐゴシック"/>
                        <a:cs typeface="ＭＳ Ｐゴシック"/>
                      </a:defRPr>
                    </a:pPr>
                    <a:r>
                      <a:rPr lang="ja-JP" altLang="en-US" sz="500" b="0" i="0" u="none" strike="noStrike" baseline="0">
                        <a:solidFill>
                          <a:srgbClr val="000000"/>
                        </a:solidFill>
                        <a:latin typeface="ＭＳ Ｐゴシック"/>
                        <a:ea typeface="ＭＳ Ｐゴシック"/>
                      </a:rPr>
                      <a:t>水道業</a:t>
                    </a:r>
                  </a:p>
                  <a:p>
                    <a:pPr>
                      <a:defRPr sz="500" b="0" i="0" u="none" strike="noStrike" baseline="0">
                        <a:solidFill>
                          <a:srgbClr val="000000"/>
                        </a:solidFill>
                        <a:latin typeface="ＭＳ Ｐゴシック"/>
                        <a:ea typeface="ＭＳ Ｐゴシック"/>
                        <a:cs typeface="ＭＳ Ｐゴシック"/>
                      </a:defRPr>
                    </a:pPr>
                    <a:r>
                      <a:rPr lang="en-US" altLang="ja-JP" sz="500" b="0" i="0" u="none" strike="noStrike" baseline="0">
                        <a:solidFill>
                          <a:srgbClr val="000000"/>
                        </a:solidFill>
                        <a:latin typeface="ＭＳ Ｐゴシック"/>
                        <a:ea typeface="ＭＳ Ｐゴシック"/>
                      </a:rPr>
                      <a:t>3.1%</a:t>
                    </a:r>
                    <a:endParaRPr lang="en-US" altLang="ja-JP" sz="825" b="0" i="0" u="none" strike="noStrike" baseline="0">
                      <a:solidFill>
                        <a:srgbClr val="000000"/>
                      </a:solidFill>
                      <a:latin typeface="ＭＳ Ｐゴシック"/>
                      <a:ea typeface="ＭＳ Ｐゴシック"/>
                    </a:endParaRPr>
                  </a:p>
                </c:rich>
              </c:tx>
              <c:spPr>
                <a:noFill/>
                <a:ln w="25400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3225709639676397E-2"/>
                  <c:y val="-5.320781694961773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-3.3369561533689973E-2"/>
                  <c:y val="1.17475842075223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7"/>
              <c:layout>
                <c:manualLayout>
                  <c:x val="1.6467390601678199E-2"/>
                  <c:y val="2.189872796490755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8"/>
              <c:layout>
                <c:manualLayout>
                  <c:x val="3.2763008557903511E-2"/>
                  <c:y val="5.436857988525267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9"/>
              <c:layout>
                <c:manualLayout>
                  <c:x val="-1.7935851447271452E-2"/>
                  <c:y val="-1.162055354442774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0"/>
              <c:layout>
                <c:manualLayout>
                  <c:x val="-2.8029903620584884E-2"/>
                  <c:y val="4.072148203890188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numFmt formatCode="0.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500" b="0" i="0" u="none" strike="noStrike" baseline="0">
                    <a:solidFill>
                      <a:srgbClr val="000000"/>
                    </a:solidFill>
                    <a:latin typeface="ＭＳ Ｐゴシック"/>
                    <a:ea typeface="ＭＳ Ｐゴシック"/>
                    <a:cs typeface="ＭＳ Ｐゴシック"/>
                  </a:defRPr>
                </a:pPr>
                <a:endParaRPr lang="ja-JP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'総括(H22)'!$L$5:$L$15</c:f>
              <c:strCache>
                <c:ptCount val="11"/>
                <c:pt idx="0">
                  <c:v>農林水産業</c:v>
                </c:pt>
                <c:pt idx="1">
                  <c:v>鉱   業</c:v>
                </c:pt>
                <c:pt idx="2">
                  <c:v>製造業</c:v>
                </c:pt>
                <c:pt idx="3">
                  <c:v>建設業</c:v>
                </c:pt>
                <c:pt idx="4">
                  <c:v>電気・ガス・水道業</c:v>
                </c:pt>
                <c:pt idx="5">
                  <c:v>卸売・小売業</c:v>
                </c:pt>
                <c:pt idx="6">
                  <c:v>金融・保険業</c:v>
                </c:pt>
                <c:pt idx="7">
                  <c:v>不動産業</c:v>
                </c:pt>
                <c:pt idx="8">
                  <c:v>運輸業</c:v>
                </c:pt>
                <c:pt idx="9">
                  <c:v>情報通信業</c:v>
                </c:pt>
                <c:pt idx="10">
                  <c:v>サービス業</c:v>
                </c:pt>
              </c:strCache>
            </c:strRef>
          </c:cat>
          <c:val>
            <c:numRef>
              <c:f>'総括(H22)'!$U$5:$U$15</c:f>
              <c:numCache>
                <c:formatCode>#,##0_);[Red]\(#,##0\)</c:formatCode>
                <c:ptCount val="11"/>
                <c:pt idx="0">
                  <c:v>38417</c:v>
                </c:pt>
                <c:pt idx="1">
                  <c:v>1422</c:v>
                </c:pt>
                <c:pt idx="2">
                  <c:v>5349989.5441292617</c:v>
                </c:pt>
                <c:pt idx="3">
                  <c:v>1386791.9670600002</c:v>
                </c:pt>
                <c:pt idx="4">
                  <c:v>1021506.3111512695</c:v>
                </c:pt>
                <c:pt idx="5">
                  <c:v>6317213.5273880279</c:v>
                </c:pt>
                <c:pt idx="6">
                  <c:v>1774526.4550215607</c:v>
                </c:pt>
                <c:pt idx="7">
                  <c:v>4742654.9978499999</c:v>
                </c:pt>
                <c:pt idx="8">
                  <c:v>1781270.7329900004</c:v>
                </c:pt>
                <c:pt idx="9">
                  <c:v>2467303.495381786</c:v>
                </c:pt>
                <c:pt idx="10">
                  <c:v>8095786.8516801484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 w="9525">
      <a:noFill/>
    </a:ln>
  </c:spPr>
  <c:txPr>
    <a:bodyPr/>
    <a:lstStyle/>
    <a:p>
      <a:pPr>
        <a:defRPr sz="950" b="0" i="0" u="none" strike="noStrike" baseline="0">
          <a:solidFill>
            <a:srgbClr val="000000"/>
          </a:solidFill>
          <a:latin typeface="ＭＳ Ｐゴシック"/>
          <a:ea typeface="ＭＳ Ｐゴシック"/>
          <a:cs typeface="ＭＳ Ｐゴシック"/>
        </a:defRPr>
      </a:pPr>
      <a:endParaRPr lang="ja-JP"/>
    </a:p>
  </c:txPr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6666722670368509"/>
          <c:y val="0.21958488789075234"/>
          <c:w val="0.42795788801639789"/>
          <c:h val="0.59050530662513134"/>
        </c:manualLayout>
      </c:layout>
      <c:pieChart>
        <c:varyColors val="1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noFill/>
              <a:ln w="25400">
                <a:noFill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0000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pattFill prst="ltVert">
                <a:fgClr>
                  <a:srgbClr xmlns:mc="http://schemas.openxmlformats.org/markup-compatibility/2006" xmlns:a14="http://schemas.microsoft.com/office/drawing/2010/main" val="969696" mc:Ignorable="a14" a14:legacySpreadsheetColorIndex="55"/>
                </a:fgClr>
                <a:bgClr>
                  <a:srgbClr xmlns:mc="http://schemas.openxmlformats.org/markup-compatibility/2006" xmlns:a14="http://schemas.microsoft.com/office/drawing/2010/main" val="FFFFFF" mc:Ignorable="a14" a14:legacySpreadsheetColorIndex="9"/>
                </a:bgClr>
              </a:patt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pattFill prst="ltHorz">
                <a:fgClr>
                  <a:schemeClr val="tx1"/>
                </a:fgClr>
                <a:bgClr>
                  <a:schemeClr val="bg1"/>
                </a:bgClr>
              </a:patt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pattFill prst="pct50">
                <a:fgClr>
                  <a:srgbClr xmlns:mc="http://schemas.openxmlformats.org/markup-compatibility/2006" xmlns:a14="http://schemas.microsoft.com/office/drawing/2010/main" val="33CCCC" mc:Ignorable="a14" a14:legacySpreadsheetColorIndex="49"/>
                </a:fgClr>
                <a:bgClr>
                  <a:srgbClr xmlns:mc="http://schemas.openxmlformats.org/markup-compatibility/2006" xmlns:a14="http://schemas.microsoft.com/office/drawing/2010/main" val="FFFFFF" mc:Ignorable="a14" a14:legacySpreadsheetColorIndex="9"/>
                </a:bgClr>
              </a:patt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6"/>
            <c:bubble3D val="0"/>
            <c:spPr>
              <a:pattFill prst="ltVert">
                <a:fgClr>
                  <a:schemeClr val="bg2">
                    <a:lumMod val="50000"/>
                  </a:schemeClr>
                </a:fgClr>
                <a:bgClr>
                  <a:schemeClr val="bg1"/>
                </a:bgClr>
              </a:patt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7"/>
            <c:bubble3D val="0"/>
            <c:spPr>
              <a:pattFill prst="horzBrick">
                <a:fgClr>
                  <a:srgbClr xmlns:mc="http://schemas.openxmlformats.org/markup-compatibility/2006" xmlns:a14="http://schemas.microsoft.com/office/drawing/2010/main" val="808080" mc:Ignorable="a14" a14:legacySpreadsheetColorIndex="23"/>
                </a:fgClr>
                <a:bgClr>
                  <a:srgbClr xmlns:mc="http://schemas.openxmlformats.org/markup-compatibility/2006" xmlns:a14="http://schemas.microsoft.com/office/drawing/2010/main" val="FFFFFF" mc:Ignorable="a14" a14:legacySpreadsheetColorIndex="9"/>
                </a:bgClr>
              </a:patt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8"/>
            <c:bubble3D val="0"/>
            <c:spPr>
              <a:pattFill prst="wdDnDiag">
                <a:fgClr>
                  <a:schemeClr val="accent2">
                    <a:lumMod val="60000"/>
                    <a:lumOff val="40000"/>
                  </a:schemeClr>
                </a:fgClr>
                <a:bgClr>
                  <a:srgbClr xmlns:mc="http://schemas.openxmlformats.org/markup-compatibility/2006" xmlns:a14="http://schemas.microsoft.com/office/drawing/2010/main" val="FFFFFF" mc:Ignorable="a14" a14:legacySpreadsheetColorIndex="9"/>
                </a:bgClr>
              </a:patt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9"/>
            <c:bubble3D val="0"/>
            <c:spPr>
              <a:solidFill>
                <a:srgbClr val="FF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0"/>
            <c:bubble3D val="0"/>
            <c:spPr>
              <a:pattFill prst="dashHorz">
                <a:fgClr>
                  <a:schemeClr val="tx2"/>
                </a:fgClr>
                <a:bgClr>
                  <a:schemeClr val="bg1"/>
                </a:bgClr>
              </a:patt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3.9249933279754956E-2"/>
                  <c:y val="-8.8171435900014042E-2"/>
                </c:manualLayout>
              </c:layout>
              <c:tx>
                <c:rich>
                  <a:bodyPr/>
                  <a:lstStyle/>
                  <a:p>
                    <a:pPr>
                      <a:defRPr sz="500" b="0" i="0" u="none" strike="noStrike" baseline="0">
                        <a:solidFill>
                          <a:srgbClr val="000000"/>
                        </a:solidFill>
                        <a:latin typeface="ＭＳ Ｐゴシック"/>
                        <a:ea typeface="ＭＳ Ｐゴシック"/>
                        <a:cs typeface="ＭＳ Ｐゴシック"/>
                      </a:defRPr>
                    </a:pPr>
                    <a:r>
                      <a:rPr lang="ja-JP" altLang="en-US" sz="500" b="0" i="0" u="none" strike="noStrike" baseline="0">
                        <a:solidFill>
                          <a:srgbClr val="000000"/>
                        </a:solidFill>
                        <a:latin typeface="ＭＳ Ｐゴシック"/>
                        <a:ea typeface="ＭＳ Ｐゴシック"/>
                      </a:rPr>
                      <a:t>農林水産業 </a:t>
                    </a:r>
                    <a:r>
                      <a:rPr lang="en-US" altLang="ja-JP" sz="500" b="0" i="0" u="none" strike="noStrike" baseline="0">
                        <a:solidFill>
                          <a:srgbClr val="000000"/>
                        </a:solidFill>
                        <a:latin typeface="ＭＳ Ｐゴシック"/>
                        <a:ea typeface="ＭＳ Ｐゴシック"/>
                      </a:rPr>
                      <a:t>0.1%</a:t>
                    </a:r>
                    <a:endParaRPr lang="en-US" altLang="ja-JP" sz="825" b="0" i="0" u="none" strike="noStrike" baseline="0">
                      <a:solidFill>
                        <a:srgbClr val="000000"/>
                      </a:solidFill>
                      <a:latin typeface="ＭＳ Ｐゴシック"/>
                      <a:ea typeface="ＭＳ Ｐゴシック"/>
                    </a:endParaRPr>
                  </a:p>
                </c:rich>
              </c:tx>
              <c:spPr>
                <a:noFill/>
                <a:ln w="25400">
                  <a:noFill/>
                </a:ln>
              </c:spPr>
              <c:dLblPos val="bestFit"/>
              <c:showLegendKey val="1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6673623821361444"/>
                  <c:y val="-1.901682194248277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1.6042609114252593E-2"/>
                  <c:y val="3.366274391278520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2.6702403138510925E-2"/>
                  <c:y val="-4.461304436953039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2.3532589686618421E-2"/>
                  <c:y val="-1.3132761135576487E-2"/>
                </c:manualLayout>
              </c:layout>
              <c:tx>
                <c:rich>
                  <a:bodyPr/>
                  <a:lstStyle/>
                  <a:p>
                    <a:pPr>
                      <a:defRPr sz="500" b="0" i="0" u="none" strike="noStrike" baseline="0">
                        <a:solidFill>
                          <a:srgbClr val="000000"/>
                        </a:solidFill>
                        <a:latin typeface="ＭＳ Ｐゴシック"/>
                        <a:ea typeface="ＭＳ Ｐゴシック"/>
                        <a:cs typeface="ＭＳ Ｐゴシック"/>
                      </a:defRPr>
                    </a:pPr>
                    <a:r>
                      <a:rPr lang="ja-JP" altLang="en-US" sz="500" b="0" i="0" u="none" strike="noStrike" baseline="0">
                        <a:solidFill>
                          <a:srgbClr val="000000"/>
                        </a:solidFill>
                        <a:latin typeface="ＭＳ Ｐゴシック"/>
                        <a:ea typeface="ＭＳ Ｐゴシック"/>
                      </a:rPr>
                      <a:t>電気･ガス・</a:t>
                    </a:r>
                  </a:p>
                  <a:p>
                    <a:pPr>
                      <a:defRPr sz="500" b="0" i="0" u="none" strike="noStrike" baseline="0">
                        <a:solidFill>
                          <a:srgbClr val="000000"/>
                        </a:solidFill>
                        <a:latin typeface="ＭＳ Ｐゴシック"/>
                        <a:ea typeface="ＭＳ Ｐゴシック"/>
                        <a:cs typeface="ＭＳ Ｐゴシック"/>
                      </a:defRPr>
                    </a:pPr>
                    <a:r>
                      <a:rPr lang="ja-JP" altLang="en-US" sz="500" b="0" i="0" u="none" strike="noStrike" baseline="0">
                        <a:solidFill>
                          <a:srgbClr val="000000"/>
                        </a:solidFill>
                        <a:latin typeface="ＭＳ Ｐゴシック"/>
                        <a:ea typeface="ＭＳ Ｐゴシック"/>
                      </a:rPr>
                      <a:t>水道業</a:t>
                    </a:r>
                  </a:p>
                  <a:p>
                    <a:pPr>
                      <a:defRPr sz="500" b="0" i="0" u="none" strike="noStrike" baseline="0">
                        <a:solidFill>
                          <a:srgbClr val="000000"/>
                        </a:solidFill>
                        <a:latin typeface="ＭＳ Ｐゴシック"/>
                        <a:ea typeface="ＭＳ Ｐゴシック"/>
                        <a:cs typeface="ＭＳ Ｐゴシック"/>
                      </a:defRPr>
                    </a:pPr>
                    <a:r>
                      <a:rPr lang="en-US" altLang="ja-JP" sz="500" b="0" i="0" u="none" strike="noStrike" baseline="0">
                        <a:solidFill>
                          <a:srgbClr val="000000"/>
                        </a:solidFill>
                        <a:latin typeface="ＭＳ Ｐゴシック"/>
                        <a:ea typeface="ＭＳ Ｐゴシック"/>
                      </a:rPr>
                      <a:t>2.5%</a:t>
                    </a:r>
                    <a:endParaRPr lang="en-US" altLang="ja-JP" sz="825" b="0" i="0" u="none" strike="noStrike" baseline="0">
                      <a:solidFill>
                        <a:srgbClr val="000000"/>
                      </a:solidFill>
                      <a:latin typeface="ＭＳ Ｐゴシック"/>
                      <a:ea typeface="ＭＳ Ｐゴシック"/>
                    </a:endParaRPr>
                  </a:p>
                </c:rich>
              </c:tx>
              <c:spPr>
                <a:noFill/>
                <a:ln w="25400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3297157900392131E-2"/>
                  <c:y val="-6.0836265196871171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-2.2395015712717924E-2"/>
                  <c:y val="1.174737098918495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7"/>
              <c:layout>
                <c:manualLayout>
                  <c:x val="5.4929703229820463E-3"/>
                  <c:y val="4.4263594935826499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8"/>
              <c:layout>
                <c:manualLayout>
                  <c:x val="1.0814267320715151E-2"/>
                  <c:y val="2.524795088263494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9"/>
              <c:layout>
                <c:manualLayout>
                  <c:x val="-1.7935851447271452E-2"/>
                  <c:y val="-1.162055354442774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0"/>
              <c:layout>
                <c:manualLayout>
                  <c:x val="-2.8029903620584884E-2"/>
                  <c:y val="4.072148203890188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numFmt formatCode="0.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500" b="0" i="0" u="none" strike="noStrike" baseline="0">
                    <a:solidFill>
                      <a:srgbClr val="000000"/>
                    </a:solidFill>
                    <a:latin typeface="ＭＳ Ｐゴシック"/>
                    <a:ea typeface="ＭＳ Ｐゴシック"/>
                    <a:cs typeface="ＭＳ Ｐゴシック"/>
                  </a:defRPr>
                </a:pPr>
                <a:endParaRPr lang="ja-JP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'総括 (H２)'!$C$62:$C$71</c:f>
              <c:strCache>
                <c:ptCount val="10"/>
                <c:pt idx="0">
                  <c:v>農林水産業</c:v>
                </c:pt>
                <c:pt idx="1">
                  <c:v>鉱業</c:v>
                </c:pt>
                <c:pt idx="2">
                  <c:v>製造業</c:v>
                </c:pt>
                <c:pt idx="3">
                  <c:v>建設業</c:v>
                </c:pt>
                <c:pt idx="4">
                  <c:v>電気･ガス･水道業</c:v>
                </c:pt>
                <c:pt idx="5">
                  <c:v>卸売 ・小売業</c:v>
                </c:pt>
                <c:pt idx="6">
                  <c:v>金融・保険業</c:v>
                </c:pt>
                <c:pt idx="7">
                  <c:v>不動産業</c:v>
                </c:pt>
                <c:pt idx="8">
                  <c:v>運輸・通信業</c:v>
                </c:pt>
                <c:pt idx="9">
                  <c:v>サービス業</c:v>
                </c:pt>
              </c:strCache>
            </c:strRef>
          </c:cat>
          <c:val>
            <c:numRef>
              <c:f>'総括 (H２)'!$E$62:$E$71</c:f>
              <c:numCache>
                <c:formatCode>0.0_ </c:formatCode>
                <c:ptCount val="10"/>
                <c:pt idx="0">
                  <c:v>0.13082822664685895</c:v>
                </c:pt>
                <c:pt idx="1">
                  <c:v>1.8395256107881956E-2</c:v>
                </c:pt>
                <c:pt idx="2">
                  <c:v>27.074379361220608</c:v>
                </c:pt>
                <c:pt idx="3">
                  <c:v>5.9123700630714673</c:v>
                </c:pt>
                <c:pt idx="4">
                  <c:v>2.4995686268567581</c:v>
                </c:pt>
                <c:pt idx="5">
                  <c:v>21.433357029308052</c:v>
                </c:pt>
                <c:pt idx="6">
                  <c:v>7.5539662686821867</c:v>
                </c:pt>
                <c:pt idx="7">
                  <c:v>10.819913013050868</c:v>
                </c:pt>
                <c:pt idx="8">
                  <c:v>6.6788627614022333</c:v>
                </c:pt>
                <c:pt idx="9">
                  <c:v>17.059961711375145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 w="9525">
      <a:noFill/>
    </a:ln>
  </c:spPr>
  <c:txPr>
    <a:bodyPr/>
    <a:lstStyle/>
    <a:p>
      <a:pPr>
        <a:defRPr sz="950" b="0" i="0" u="none" strike="noStrike" baseline="0">
          <a:solidFill>
            <a:srgbClr val="000000"/>
          </a:solidFill>
          <a:latin typeface="ＭＳ Ｐゴシック"/>
          <a:ea typeface="ＭＳ Ｐゴシック"/>
          <a:cs typeface="ＭＳ Ｐゴシック"/>
        </a:defRPr>
      </a:pPr>
      <a:endParaRPr lang="ja-JP"/>
    </a:p>
  </c:txPr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6666722670368509"/>
          <c:y val="0.21958488789075234"/>
          <c:w val="0.42795788801639789"/>
          <c:h val="0.59050530662513134"/>
        </c:manualLayout>
      </c:layout>
      <c:pieChart>
        <c:varyColors val="1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noFill/>
              <a:ln w="25400">
                <a:noFill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0000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pattFill prst="ltVert">
                <a:fgClr>
                  <a:srgbClr xmlns:mc="http://schemas.openxmlformats.org/markup-compatibility/2006" xmlns:a14="http://schemas.microsoft.com/office/drawing/2010/main" val="969696" mc:Ignorable="a14" a14:legacySpreadsheetColorIndex="55"/>
                </a:fgClr>
                <a:bgClr>
                  <a:srgbClr xmlns:mc="http://schemas.openxmlformats.org/markup-compatibility/2006" xmlns:a14="http://schemas.microsoft.com/office/drawing/2010/main" val="FFFFFF" mc:Ignorable="a14" a14:legacySpreadsheetColorIndex="9"/>
                </a:bgClr>
              </a:patt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pattFill prst="ltHorz">
                <a:fgClr>
                  <a:schemeClr val="tx1"/>
                </a:fgClr>
                <a:bgClr>
                  <a:schemeClr val="bg1"/>
                </a:bgClr>
              </a:patt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pattFill prst="pct50">
                <a:fgClr>
                  <a:srgbClr xmlns:mc="http://schemas.openxmlformats.org/markup-compatibility/2006" xmlns:a14="http://schemas.microsoft.com/office/drawing/2010/main" val="33CCCC" mc:Ignorable="a14" a14:legacySpreadsheetColorIndex="49"/>
                </a:fgClr>
                <a:bgClr>
                  <a:srgbClr xmlns:mc="http://schemas.openxmlformats.org/markup-compatibility/2006" xmlns:a14="http://schemas.microsoft.com/office/drawing/2010/main" val="FFFFFF" mc:Ignorable="a14" a14:legacySpreadsheetColorIndex="9"/>
                </a:bgClr>
              </a:patt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6"/>
            <c:bubble3D val="0"/>
            <c:spPr>
              <a:pattFill prst="ltVert">
                <a:fgClr>
                  <a:schemeClr val="bg2">
                    <a:lumMod val="50000"/>
                  </a:schemeClr>
                </a:fgClr>
                <a:bgClr>
                  <a:schemeClr val="bg1"/>
                </a:bgClr>
              </a:patt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7"/>
            <c:bubble3D val="0"/>
            <c:spPr>
              <a:pattFill prst="horzBrick">
                <a:fgClr>
                  <a:srgbClr xmlns:mc="http://schemas.openxmlformats.org/markup-compatibility/2006" xmlns:a14="http://schemas.microsoft.com/office/drawing/2010/main" val="808080" mc:Ignorable="a14" a14:legacySpreadsheetColorIndex="23"/>
                </a:fgClr>
                <a:bgClr>
                  <a:srgbClr xmlns:mc="http://schemas.openxmlformats.org/markup-compatibility/2006" xmlns:a14="http://schemas.microsoft.com/office/drawing/2010/main" val="FFFFFF" mc:Ignorable="a14" a14:legacySpreadsheetColorIndex="9"/>
                </a:bgClr>
              </a:patt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8"/>
            <c:bubble3D val="0"/>
            <c:spPr>
              <a:pattFill prst="wdDnDiag">
                <a:fgClr>
                  <a:schemeClr val="accent2">
                    <a:lumMod val="60000"/>
                    <a:lumOff val="40000"/>
                  </a:schemeClr>
                </a:fgClr>
                <a:bgClr>
                  <a:srgbClr xmlns:mc="http://schemas.openxmlformats.org/markup-compatibility/2006" xmlns:a14="http://schemas.microsoft.com/office/drawing/2010/main" val="FFFFFF" mc:Ignorable="a14" a14:legacySpreadsheetColorIndex="9"/>
                </a:bgClr>
              </a:patt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9"/>
            <c:bubble3D val="0"/>
            <c:spPr>
              <a:solidFill>
                <a:srgbClr val="FF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0"/>
            <c:bubble3D val="0"/>
            <c:spPr>
              <a:pattFill prst="dashHorz">
                <a:fgClr>
                  <a:schemeClr val="tx2"/>
                </a:fgClr>
                <a:bgClr>
                  <a:schemeClr val="bg1"/>
                </a:bgClr>
              </a:patt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5.384375391425357E-2"/>
                  <c:y val="-8.8171234932512776E-2"/>
                </c:manualLayout>
              </c:layout>
              <c:tx>
                <c:rich>
                  <a:bodyPr/>
                  <a:lstStyle/>
                  <a:p>
                    <a:pPr>
                      <a:defRPr sz="500" b="0" i="0" u="none" strike="noStrike" baseline="0">
                        <a:solidFill>
                          <a:srgbClr val="000000"/>
                        </a:solidFill>
                        <a:latin typeface="ＭＳ Ｐゴシック"/>
                        <a:ea typeface="ＭＳ Ｐゴシック"/>
                        <a:cs typeface="ＭＳ Ｐゴシック"/>
                      </a:defRPr>
                    </a:pPr>
                    <a:r>
                      <a:rPr lang="ja-JP" altLang="en-US" sz="500" b="0" i="0" u="none" strike="noStrike" baseline="0">
                        <a:solidFill>
                          <a:srgbClr val="000000"/>
                        </a:solidFill>
                        <a:latin typeface="ＭＳ Ｐゴシック"/>
                        <a:ea typeface="ＭＳ Ｐゴシック"/>
                      </a:rPr>
                      <a:t>農林水産業 </a:t>
                    </a:r>
                    <a:r>
                      <a:rPr lang="en-US" altLang="ja-JP" sz="500" b="0" i="0" u="none" strike="noStrike" baseline="0">
                        <a:solidFill>
                          <a:srgbClr val="000000"/>
                        </a:solidFill>
                        <a:latin typeface="ＭＳ Ｐゴシック"/>
                        <a:ea typeface="ＭＳ Ｐゴシック"/>
                      </a:rPr>
                      <a:t>0.4%</a:t>
                    </a:r>
                    <a:endParaRPr lang="en-US" altLang="ja-JP" sz="825" b="0" i="0" u="none" strike="noStrike" baseline="0">
                      <a:solidFill>
                        <a:srgbClr val="000000"/>
                      </a:solidFill>
                      <a:latin typeface="ＭＳ Ｐゴシック"/>
                      <a:ea typeface="ＭＳ Ｐゴシック"/>
                    </a:endParaRPr>
                  </a:p>
                </c:rich>
              </c:tx>
              <c:spPr>
                <a:noFill/>
                <a:ln w="25400">
                  <a:noFill/>
                </a:ln>
              </c:spPr>
              <c:dLblPos val="bestFit"/>
              <c:showLegendKey val="1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6673623821361444"/>
                  <c:y val="-1.901682194248277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1.6042609114252593E-2"/>
                  <c:y val="3.366274391278520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2.6702403138510925E-2"/>
                  <c:y val="-4.461304436953039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2.3532589686618421E-2"/>
                  <c:y val="-1.3132761135576487E-2"/>
                </c:manualLayout>
              </c:layout>
              <c:tx>
                <c:rich>
                  <a:bodyPr/>
                  <a:lstStyle/>
                  <a:p>
                    <a:pPr>
                      <a:defRPr sz="500" b="0" i="0" u="none" strike="noStrike" baseline="0">
                        <a:solidFill>
                          <a:srgbClr val="000000"/>
                        </a:solidFill>
                        <a:latin typeface="ＭＳ Ｐゴシック"/>
                        <a:ea typeface="ＭＳ Ｐゴシック"/>
                        <a:cs typeface="ＭＳ Ｐゴシック"/>
                      </a:defRPr>
                    </a:pPr>
                    <a:r>
                      <a:rPr lang="ja-JP" altLang="en-US" sz="500" b="0" i="0" u="none" strike="noStrike" baseline="0">
                        <a:solidFill>
                          <a:srgbClr val="000000"/>
                        </a:solidFill>
                        <a:latin typeface="ＭＳ Ｐゴシック"/>
                        <a:ea typeface="ＭＳ Ｐゴシック"/>
                      </a:rPr>
                      <a:t>電気･ガス・</a:t>
                    </a:r>
                  </a:p>
                  <a:p>
                    <a:pPr>
                      <a:defRPr sz="500" b="0" i="0" u="none" strike="noStrike" baseline="0">
                        <a:solidFill>
                          <a:srgbClr val="000000"/>
                        </a:solidFill>
                        <a:latin typeface="ＭＳ Ｐゴシック"/>
                        <a:ea typeface="ＭＳ Ｐゴシック"/>
                        <a:cs typeface="ＭＳ Ｐゴシック"/>
                      </a:defRPr>
                    </a:pPr>
                    <a:r>
                      <a:rPr lang="ja-JP" altLang="en-US" sz="500" b="0" i="0" u="none" strike="noStrike" baseline="0">
                        <a:solidFill>
                          <a:srgbClr val="000000"/>
                        </a:solidFill>
                        <a:latin typeface="ＭＳ Ｐゴシック"/>
                        <a:ea typeface="ＭＳ Ｐゴシック"/>
                      </a:rPr>
                      <a:t>水道業</a:t>
                    </a:r>
                  </a:p>
                  <a:p>
                    <a:pPr>
                      <a:defRPr sz="500" b="0" i="0" u="none" strike="noStrike" baseline="0">
                        <a:solidFill>
                          <a:srgbClr val="000000"/>
                        </a:solidFill>
                        <a:latin typeface="ＭＳ Ｐゴシック"/>
                        <a:ea typeface="ＭＳ Ｐゴシック"/>
                        <a:cs typeface="ＭＳ Ｐゴシック"/>
                      </a:defRPr>
                    </a:pPr>
                    <a:r>
                      <a:rPr lang="en-US" altLang="ja-JP" sz="500" b="0" i="0" u="none" strike="noStrike" baseline="0">
                        <a:solidFill>
                          <a:srgbClr val="000000"/>
                        </a:solidFill>
                        <a:latin typeface="ＭＳ Ｐゴシック"/>
                        <a:ea typeface="ＭＳ Ｐゴシック"/>
                      </a:rPr>
                      <a:t>2.3%</a:t>
                    </a:r>
                    <a:endParaRPr lang="en-US" altLang="ja-JP" sz="825" b="0" i="0" u="none" strike="noStrike" baseline="0">
                      <a:solidFill>
                        <a:srgbClr val="000000"/>
                      </a:solidFill>
                      <a:latin typeface="ＭＳ Ｐゴシック"/>
                      <a:ea typeface="ＭＳ Ｐゴシック"/>
                    </a:endParaRPr>
                  </a:p>
                </c:rich>
              </c:tx>
              <c:spPr>
                <a:noFill/>
                <a:ln w="25400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2381218477349746E-2"/>
                  <c:y val="-4.738433430112187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-2.2395015712717924E-2"/>
                  <c:y val="1.174737098918495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7"/>
              <c:layout>
                <c:manualLayout>
                  <c:x val="5.4929703229820463E-3"/>
                  <c:y val="4.4263594935826499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8"/>
              <c:layout>
                <c:manualLayout>
                  <c:x val="1.0814267320715151E-2"/>
                  <c:y val="2.524795088263494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9"/>
              <c:layout>
                <c:manualLayout>
                  <c:x val="-1.7935851447271452E-2"/>
                  <c:y val="-1.162055354442774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0"/>
              <c:layout>
                <c:manualLayout>
                  <c:x val="-2.8029903620584884E-2"/>
                  <c:y val="4.072148203890188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numFmt formatCode="0.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500" b="0" i="0" u="none" strike="noStrike" baseline="0">
                    <a:solidFill>
                      <a:srgbClr val="000000"/>
                    </a:solidFill>
                    <a:latin typeface="ＭＳ Ｐゴシック"/>
                    <a:ea typeface="ＭＳ Ｐゴシック"/>
                    <a:cs typeface="ＭＳ Ｐゴシック"/>
                  </a:defRPr>
                </a:pPr>
                <a:endParaRPr lang="ja-JP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'総括 (S45)'!$C$61:$C$70</c:f>
              <c:strCache>
                <c:ptCount val="10"/>
                <c:pt idx="0">
                  <c:v>農林水産業</c:v>
                </c:pt>
                <c:pt idx="1">
                  <c:v>鉱業</c:v>
                </c:pt>
                <c:pt idx="2">
                  <c:v>製造業</c:v>
                </c:pt>
                <c:pt idx="3">
                  <c:v>建設業</c:v>
                </c:pt>
                <c:pt idx="4">
                  <c:v>電気･ガス･水道業</c:v>
                </c:pt>
                <c:pt idx="5">
                  <c:v>卸売 ・小売業</c:v>
                </c:pt>
                <c:pt idx="6">
                  <c:v>金融・保険業</c:v>
                </c:pt>
                <c:pt idx="7">
                  <c:v>不動産業</c:v>
                </c:pt>
                <c:pt idx="8">
                  <c:v>運輸業</c:v>
                </c:pt>
                <c:pt idx="9">
                  <c:v>サービス業</c:v>
                </c:pt>
              </c:strCache>
            </c:strRef>
          </c:cat>
          <c:val>
            <c:numRef>
              <c:f>'総括 (S45)'!$E$61:$E$70</c:f>
              <c:numCache>
                <c:formatCode>0.0_ </c:formatCode>
                <c:ptCount val="10"/>
                <c:pt idx="0">
                  <c:v>0.44447169378850271</c:v>
                </c:pt>
                <c:pt idx="1">
                  <c:v>3.9214503534203769E-2</c:v>
                </c:pt>
                <c:pt idx="2">
                  <c:v>37.956961449346487</c:v>
                </c:pt>
                <c:pt idx="3">
                  <c:v>8.2976563735578086</c:v>
                </c:pt>
                <c:pt idx="4">
                  <c:v>2.3579092179956174</c:v>
                </c:pt>
                <c:pt idx="5">
                  <c:v>22.505823660440075</c:v>
                </c:pt>
                <c:pt idx="6">
                  <c:v>6.712634603379386</c:v>
                </c:pt>
                <c:pt idx="7">
                  <c:v>7.085334460834118</c:v>
                </c:pt>
                <c:pt idx="8">
                  <c:v>7.2217151307371541</c:v>
                </c:pt>
                <c:pt idx="9">
                  <c:v>8.4483570899831903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 w="9525">
      <a:noFill/>
    </a:ln>
  </c:spPr>
  <c:txPr>
    <a:bodyPr/>
    <a:lstStyle/>
    <a:p>
      <a:pPr>
        <a:defRPr sz="950" b="0" i="0" u="none" strike="noStrike" baseline="0">
          <a:solidFill>
            <a:srgbClr val="000000"/>
          </a:solidFill>
          <a:latin typeface="ＭＳ Ｐゴシック"/>
          <a:ea typeface="ＭＳ Ｐゴシック"/>
          <a:cs typeface="ＭＳ Ｐゴシック"/>
        </a:defRPr>
      </a:pPr>
      <a:endParaRPr lang="ja-JP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0.17904</cdr:x>
      <cdr:y>0.01479</cdr:y>
    </cdr:from>
    <cdr:to>
      <cdr:x>0.22527</cdr:x>
      <cdr:y>0.09364</cdr:y>
    </cdr:to>
    <cdr:sp macro="" textlink="">
      <cdr:nvSpPr>
        <cdr:cNvPr id="2683906" name="Rectangle 2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97865" y="50800"/>
          <a:ext cx="205225" cy="253841"/>
        </a:xfrm>
        <a:prstGeom xmlns:a="http://schemas.openxmlformats.org/drawingml/2006/main" prst="rect">
          <a:avLst/>
        </a:prstGeom>
        <a:solidFill xmlns:a="http://schemas.openxmlformats.org/drawingml/2006/main">
          <a:srgbClr xmlns:mc="http://schemas.openxmlformats.org/markup-compatibility/2006" xmlns:a14="http://schemas.microsoft.com/office/drawing/2010/main" val="FFFFFF" mc:Ignorable="a14" a14:legacySpreadsheetColorIndex="65"/>
        </a:solidFill>
        <a:ln xmlns:a="http://schemas.openxmlformats.org/drawingml/2006/main">
          <a:noFill/>
        </a:ln>
        <a:extLst xmlns:a="http://schemas.openxmlformats.org/drawingml/2006/main"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ja-JP" altLang="en-US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0.17904</cdr:x>
      <cdr:y>0.01479</cdr:y>
    </cdr:from>
    <cdr:to>
      <cdr:x>0.22527</cdr:x>
      <cdr:y>0.09364</cdr:y>
    </cdr:to>
    <cdr:sp macro="" textlink="">
      <cdr:nvSpPr>
        <cdr:cNvPr id="2683906" name="Rectangle 2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97865" y="50800"/>
          <a:ext cx="205225" cy="253841"/>
        </a:xfrm>
        <a:prstGeom xmlns:a="http://schemas.openxmlformats.org/drawingml/2006/main" prst="rect">
          <a:avLst/>
        </a:prstGeom>
        <a:solidFill xmlns:a="http://schemas.openxmlformats.org/drawingml/2006/main">
          <a:srgbClr xmlns:mc="http://schemas.openxmlformats.org/markup-compatibility/2006" xmlns:a14="http://schemas.microsoft.com/office/drawing/2010/main" val="FFFFFF" mc:Ignorable="a14" a14:legacySpreadsheetColorIndex="65"/>
        </a:solidFill>
        <a:ln xmlns:a="http://schemas.openxmlformats.org/drawingml/2006/main">
          <a:noFill/>
        </a:ln>
        <a:extLst xmlns:a="http://schemas.openxmlformats.org/drawingml/2006/main"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ja-JP" altLang="en-US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0.17904</cdr:x>
      <cdr:y>0.01479</cdr:y>
    </cdr:from>
    <cdr:to>
      <cdr:x>0.22527</cdr:x>
      <cdr:y>0.09364</cdr:y>
    </cdr:to>
    <cdr:sp macro="" textlink="">
      <cdr:nvSpPr>
        <cdr:cNvPr id="2683906" name="Rectangle 2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97865" y="50800"/>
          <a:ext cx="205225" cy="253841"/>
        </a:xfrm>
        <a:prstGeom xmlns:a="http://schemas.openxmlformats.org/drawingml/2006/main" prst="rect">
          <a:avLst/>
        </a:prstGeom>
        <a:solidFill xmlns:a="http://schemas.openxmlformats.org/drawingml/2006/main">
          <a:srgbClr xmlns:mc="http://schemas.openxmlformats.org/markup-compatibility/2006" xmlns:a14="http://schemas.microsoft.com/office/drawing/2010/main" val="FFFFFF" mc:Ignorable="a14" a14:legacySpreadsheetColorIndex="65"/>
        </a:solidFill>
        <a:ln xmlns:a="http://schemas.openxmlformats.org/drawingml/2006/main">
          <a:noFill/>
        </a:ln>
        <a:extLst xmlns:a="http://schemas.openxmlformats.org/drawingml/2006/main"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ja-JP" altLang="en-US"/>
        </a:p>
      </cdr:txBody>
    </cdr:sp>
  </cdr:relSizeAnchor>
</c:userShape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9A0065-E9E0-4DB8-9ACF-9986A85F9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2013-02-22T06:39:00Z</cp:lastPrinted>
  <dcterms:created xsi:type="dcterms:W3CDTF">2017-01-30T01:43:00Z</dcterms:created>
  <dcterms:modified xsi:type="dcterms:W3CDTF">2017-01-30T01:43:00Z</dcterms:modified>
</cp:coreProperties>
</file>