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4" w:rsidRDefault="00091503" w:rsidP="00091503">
      <w:pPr>
        <w:ind w:firstLineChars="900" w:firstLine="189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5BFB" wp14:editId="7CB79F0C">
                <wp:simplePos x="0" y="0"/>
                <wp:positionH relativeFrom="column">
                  <wp:posOffset>5023485</wp:posOffset>
                </wp:positionH>
                <wp:positionV relativeFrom="paragraph">
                  <wp:posOffset>-329565</wp:posOffset>
                </wp:positionV>
                <wp:extent cx="14763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1503" w:rsidRPr="001F3D6D" w:rsidRDefault="00091503" w:rsidP="000915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3D6D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資料番号</w:t>
                            </w:r>
                            <w:r w:rsidRPr="001F3D6D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5.55pt;margin-top:-25.95pt;width:11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" fillcolor="window" strokecolor="#f79646" strokeweight="2pt">
                <v:textbox inset=",0">
                  <w:txbxContent>
                    <w:p w:rsidR="00091503" w:rsidRPr="001F3D6D" w:rsidRDefault="00091503" w:rsidP="000915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3D6D"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資料番号</w:t>
                      </w:r>
                      <w:r w:rsidRPr="001F3D6D"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C6D84" w:rsidRPr="001C6D84">
        <w:rPr>
          <w:rFonts w:asciiTheme="majorEastAsia" w:eastAsiaTheme="majorEastAsia" w:hAnsiTheme="majorEastAsia" w:hint="eastAsia"/>
          <w:sz w:val="24"/>
          <w:szCs w:val="24"/>
        </w:rPr>
        <w:t>ヒアリング（意見交換）のための事前提出資料</w:t>
      </w:r>
    </w:p>
    <w:p w:rsidR="00922B0B" w:rsidRPr="008F6072" w:rsidRDefault="00922B0B" w:rsidP="001C6D8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6E28D8" w:rsidP="00922B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委員会</w:t>
      </w:r>
    </w:p>
    <w:p w:rsidR="00C11CA0" w:rsidRDefault="00C11CA0" w:rsidP="00C11CA0">
      <w:pPr>
        <w:wordWrap w:val="0"/>
        <w:spacing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ひと月あたりの平均活動日数及び主な活動内容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（H22.</w:t>
      </w:r>
      <w:r w:rsidR="00B76544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B76544">
        <w:rPr>
          <w:rFonts w:asciiTheme="majorEastAsia" w:eastAsiaTheme="majorEastAsia" w:hAnsiTheme="majorEastAsia" w:hint="eastAsia"/>
          <w:sz w:val="24"/>
          <w:szCs w:val="24"/>
        </w:rPr>
        <w:t>H23.3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76544" w:rsidRDefault="00AE02B5" w:rsidP="00AE02B5">
      <w:pPr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AE02B5">
        <w:rPr>
          <w:noProof/>
        </w:rPr>
        <w:drawing>
          <wp:inline distT="0" distB="0" distL="0" distR="0" wp14:anchorId="63988213" wp14:editId="6CC30C95">
            <wp:extent cx="6477000" cy="17811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3A" w:rsidRDefault="00E1683A" w:rsidP="00E1683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1CA0" w:rsidRDefault="00C11CA0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※あわせて、H20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4D0D61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年間の委員会議</w:t>
      </w:r>
      <w:r w:rsidR="00FC0E21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の開催実績についてご記入ください。　</w:t>
      </w:r>
    </w:p>
    <w:tbl>
      <w:tblPr>
        <w:tblStyle w:val="a5"/>
        <w:tblW w:w="9639" w:type="dxa"/>
        <w:tblInd w:w="817" w:type="dxa"/>
        <w:tblLook w:val="04A0" w:firstRow="1" w:lastRow="0" w:firstColumn="1" w:lastColumn="0" w:noHBand="0" w:noVBand="1"/>
      </w:tblPr>
      <w:tblGrid>
        <w:gridCol w:w="1418"/>
        <w:gridCol w:w="2268"/>
        <w:gridCol w:w="5953"/>
      </w:tblGrid>
      <w:tr w:rsidR="00C11CA0" w:rsidRPr="0032388F" w:rsidTr="00353EC7">
        <w:tc>
          <w:tcPr>
            <w:tcW w:w="1418" w:type="dxa"/>
          </w:tcPr>
          <w:p w:rsidR="00C11CA0" w:rsidRPr="0032388F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88F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2268" w:type="dxa"/>
          </w:tcPr>
          <w:p w:rsidR="00C11CA0" w:rsidRPr="0032388F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88F">
              <w:rPr>
                <w:rFonts w:asciiTheme="majorEastAsia" w:eastAsiaTheme="majorEastAsia" w:hAnsiTheme="majorEastAsia" w:hint="eastAsia"/>
                <w:szCs w:val="21"/>
              </w:rPr>
              <w:t>開催回数</w:t>
            </w:r>
          </w:p>
        </w:tc>
        <w:tc>
          <w:tcPr>
            <w:tcW w:w="5953" w:type="dxa"/>
          </w:tcPr>
          <w:p w:rsidR="00C11CA0" w:rsidRPr="0032388F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88F">
              <w:rPr>
                <w:rFonts w:asciiTheme="majorEastAsia" w:eastAsiaTheme="majorEastAsia" w:hAnsiTheme="majorEastAsia" w:hint="eastAsia"/>
                <w:szCs w:val="21"/>
              </w:rPr>
              <w:t>備　　　考</w:t>
            </w:r>
          </w:p>
        </w:tc>
      </w:tr>
      <w:tr w:rsidR="00C11CA0" w:rsidRPr="0032388F" w:rsidTr="003C13BE">
        <w:tc>
          <w:tcPr>
            <w:tcW w:w="1418" w:type="dxa"/>
            <w:vAlign w:val="center"/>
          </w:tcPr>
          <w:p w:rsidR="00C11CA0" w:rsidRPr="0032388F" w:rsidRDefault="00C11CA0" w:rsidP="003C1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H20</w:t>
            </w:r>
            <w:r w:rsidR="00305032"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  <w:vAlign w:val="center"/>
          </w:tcPr>
          <w:p w:rsidR="00C11CA0" w:rsidRPr="0032388F" w:rsidRDefault="000B7A96" w:rsidP="003C13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88F">
              <w:rPr>
                <w:rFonts w:asciiTheme="majorEastAsia" w:eastAsiaTheme="majorEastAsia" w:hAnsiTheme="majorEastAsia" w:hint="eastAsia"/>
                <w:sz w:val="22"/>
              </w:rPr>
              <w:t>６３６</w:t>
            </w:r>
            <w:r w:rsidR="00C11CA0" w:rsidRPr="0032388F"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</w:tc>
        <w:tc>
          <w:tcPr>
            <w:tcW w:w="5953" w:type="dxa"/>
          </w:tcPr>
          <w:p w:rsidR="00C11CA0" w:rsidRPr="0032388F" w:rsidRDefault="00353EC7" w:rsidP="00353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総会22回・公益委員会議24回</w:t>
            </w:r>
          </w:p>
          <w:p w:rsidR="00353EC7" w:rsidRPr="0032388F" w:rsidRDefault="00353EC7" w:rsidP="003930A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調査331回・</w:t>
            </w:r>
            <w:r w:rsidR="003930AC"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審問138回・</w:t>
            </w: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和解57回・あっせん64回</w:t>
            </w:r>
          </w:p>
        </w:tc>
      </w:tr>
      <w:tr w:rsidR="00C11CA0" w:rsidRPr="0032388F" w:rsidTr="003C13BE">
        <w:tc>
          <w:tcPr>
            <w:tcW w:w="1418" w:type="dxa"/>
            <w:vAlign w:val="center"/>
          </w:tcPr>
          <w:p w:rsidR="00C11CA0" w:rsidRPr="0032388F" w:rsidRDefault="00C11CA0" w:rsidP="003C1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305032"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  <w:vAlign w:val="center"/>
          </w:tcPr>
          <w:p w:rsidR="00C11CA0" w:rsidRPr="0032388F" w:rsidRDefault="00353EC7" w:rsidP="003C13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88F">
              <w:rPr>
                <w:rFonts w:asciiTheme="majorEastAsia" w:eastAsiaTheme="majorEastAsia" w:hAnsiTheme="majorEastAsia" w:hint="eastAsia"/>
                <w:sz w:val="22"/>
              </w:rPr>
              <w:t>７０３</w:t>
            </w:r>
            <w:r w:rsidR="00C11CA0" w:rsidRPr="0032388F"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</w:tc>
        <w:tc>
          <w:tcPr>
            <w:tcW w:w="5953" w:type="dxa"/>
          </w:tcPr>
          <w:p w:rsidR="00C11CA0" w:rsidRPr="0032388F" w:rsidRDefault="00353EC7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総会24回・公益委員会議24回</w:t>
            </w:r>
          </w:p>
          <w:p w:rsidR="00353EC7" w:rsidRPr="0032388F" w:rsidRDefault="003930AC" w:rsidP="003930A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調査328回・</w:t>
            </w:r>
            <w:r w:rsidR="00353EC7"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審問159回・和解73回・あっせん95回</w:t>
            </w:r>
          </w:p>
        </w:tc>
      </w:tr>
      <w:tr w:rsidR="004D0D61" w:rsidTr="003C13BE">
        <w:tc>
          <w:tcPr>
            <w:tcW w:w="1418" w:type="dxa"/>
            <w:vAlign w:val="center"/>
          </w:tcPr>
          <w:p w:rsidR="004D0D61" w:rsidRPr="0032388F" w:rsidRDefault="004D0D61" w:rsidP="003C1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22年度</w:t>
            </w:r>
          </w:p>
        </w:tc>
        <w:tc>
          <w:tcPr>
            <w:tcW w:w="2268" w:type="dxa"/>
            <w:vAlign w:val="center"/>
          </w:tcPr>
          <w:p w:rsidR="004D0D61" w:rsidRPr="0032388F" w:rsidRDefault="00353EC7" w:rsidP="003C13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88F">
              <w:rPr>
                <w:rFonts w:asciiTheme="majorEastAsia" w:eastAsiaTheme="majorEastAsia" w:hAnsiTheme="majorEastAsia" w:hint="eastAsia"/>
                <w:sz w:val="22"/>
              </w:rPr>
              <w:t>６６２</w:t>
            </w:r>
            <w:r w:rsidR="004D0D61" w:rsidRPr="0032388F"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</w:tc>
        <w:tc>
          <w:tcPr>
            <w:tcW w:w="5953" w:type="dxa"/>
          </w:tcPr>
          <w:p w:rsidR="004D0D61" w:rsidRPr="0032388F" w:rsidRDefault="00353EC7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総会22回・公益委員会議24回</w:t>
            </w:r>
          </w:p>
          <w:p w:rsidR="00353EC7" w:rsidRPr="0032388F" w:rsidRDefault="003930AC" w:rsidP="003930A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調査376回・審問133回・</w:t>
            </w:r>
            <w:r w:rsidR="00353EC7" w:rsidRPr="0032388F">
              <w:rPr>
                <w:rFonts w:asciiTheme="majorEastAsia" w:eastAsiaTheme="majorEastAsia" w:hAnsiTheme="majorEastAsia" w:hint="eastAsia"/>
                <w:sz w:val="24"/>
                <w:szCs w:val="24"/>
              </w:rPr>
              <w:t>和解51回・あっせん56回</w:t>
            </w:r>
          </w:p>
        </w:tc>
      </w:tr>
    </w:tbl>
    <w:p w:rsidR="00922B1A" w:rsidRPr="00922B1A" w:rsidRDefault="00922B1A" w:rsidP="001C6D8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Pr="00922B1A">
        <w:rPr>
          <w:rFonts w:asciiTheme="majorEastAsia" w:eastAsiaTheme="majorEastAsia" w:hAnsiTheme="majorEastAsia" w:hint="eastAsia"/>
          <w:szCs w:val="21"/>
        </w:rPr>
        <w:t>＊調査・審問・和解・あっせんは、公労使各1名の委員が担当する会議</w:t>
      </w:r>
    </w:p>
    <w:p w:rsidR="00922B1A" w:rsidRDefault="00922B1A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活動日数以外で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委員の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業務量について客観的なデータが</w:t>
      </w:r>
      <w:r>
        <w:rPr>
          <w:rFonts w:asciiTheme="majorEastAsia" w:eastAsiaTheme="majorEastAsia" w:hAnsiTheme="majorEastAsia" w:hint="eastAsia"/>
          <w:sz w:val="24"/>
          <w:szCs w:val="24"/>
        </w:rPr>
        <w:t>ありましたら、ご記入ください。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（例.不服申立ての審査件数、許認可や行政処分の件数など）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【H20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実績】</w:t>
      </w:r>
    </w:p>
    <w:tbl>
      <w:tblPr>
        <w:tblStyle w:val="a5"/>
        <w:tblW w:w="10069" w:type="dxa"/>
        <w:tblInd w:w="3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9"/>
      </w:tblGrid>
      <w:tr w:rsidR="001C6D84" w:rsidTr="00016CE2">
        <w:trPr>
          <w:trHeight w:val="1417"/>
        </w:trPr>
        <w:tc>
          <w:tcPr>
            <w:tcW w:w="10069" w:type="dxa"/>
          </w:tcPr>
          <w:p w:rsidR="00922B1A" w:rsidRDefault="00922B1A" w:rsidP="00B72B9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353EC7" w:rsidRPr="008F6072" w:rsidRDefault="0032388F" w:rsidP="008F6072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0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不当労働行為の審査（</w:t>
            </w:r>
            <w:r w:rsidR="00353EC7" w:rsidRPr="008F60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審査事件</w:t>
            </w:r>
            <w:r w:rsidRPr="008F60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）</w:t>
            </w:r>
            <w:r w:rsidR="00842F73" w:rsidRP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B66E82" w:rsidRDefault="00B66E82" w:rsidP="00B72B9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E21" w:rsidRDefault="00D25802" w:rsidP="0005621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A1BE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労働組合からの申立</w:t>
            </w:r>
            <w:r w:rsidR="00056218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により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、労働組合法第7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条に</w:t>
            </w:r>
            <w:bookmarkStart w:id="0" w:name="_GoBack"/>
            <w:bookmarkEnd w:id="0"/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定める不当労働行為</w:t>
            </w:r>
            <w:r w:rsidR="0095053D" w:rsidRPr="00A935B7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行われ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た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か否かに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ついて、調査・審問を経て判断を行う。その過程において必要に応じて和解も行う。</w:t>
            </w:r>
          </w:p>
          <w:p w:rsidR="00D25802" w:rsidRDefault="00BA1BEA" w:rsidP="00B72B9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公益委員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≪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審査委員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≫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いわば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裁判官で</w:t>
            </w:r>
            <w:r w:rsidR="00FC0E21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 w:rsidR="00C052EB">
              <w:rPr>
                <w:rFonts w:asciiTheme="majorEastAsia" w:eastAsiaTheme="majorEastAsia" w:hAnsiTheme="majorEastAsia" w:hint="eastAsia"/>
                <w:sz w:val="24"/>
                <w:szCs w:val="24"/>
              </w:rPr>
              <w:t>、労使委員は和解に向けての調整を行う。</w:t>
            </w:r>
          </w:p>
          <w:p w:rsidR="00D25802" w:rsidRDefault="00D25802" w:rsidP="00B72B9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388F" w:rsidRDefault="00C052EB" w:rsidP="00B72B9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◎</w:t>
            </w:r>
            <w:r w:rsidR="00D25802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大阪府労働委員会の件数等</w:t>
            </w:r>
          </w:p>
          <w:p w:rsidR="00B72B9A" w:rsidRDefault="00B72B9A" w:rsidP="00B72B9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5802" w:rsidRPr="00C052EB" w:rsidRDefault="00B72B9A" w:rsidP="00B72B9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44717FC4" wp14:editId="513F5167">
                  <wp:extent cx="6181725" cy="128587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802" w:rsidRDefault="00D25802" w:rsidP="00B72B9A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73A2" w:rsidRDefault="005473A2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E21" w:rsidRDefault="00C052EB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◎</w:t>
            </w:r>
            <w:r w:rsidR="007A13C1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主な都道府県との比較</w:t>
            </w:r>
            <w:r w:rsidR="007960CC">
              <w:rPr>
                <w:rFonts w:asciiTheme="majorEastAsia" w:eastAsiaTheme="majorEastAsia" w:hAnsiTheme="majorEastAsia" w:hint="eastAsia"/>
                <w:sz w:val="24"/>
                <w:szCs w:val="24"/>
              </w:rPr>
              <w:t>(事件数等)</w:t>
            </w:r>
          </w:p>
          <w:p w:rsidR="00B72B9A" w:rsidRPr="007960CC" w:rsidRDefault="00B72B9A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22FC" w:rsidRDefault="00B72B9A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0522B609" wp14:editId="1FAE340A">
                  <wp:extent cx="5972175" cy="2371725"/>
                  <wp:effectExtent l="0" t="0" r="9525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E4E" w:rsidRPr="00CC596C" w:rsidRDefault="00CC596C" w:rsidP="00585F52">
            <w:pPr>
              <w:ind w:firstLineChars="3300" w:firstLine="59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052EB" w:rsidRPr="00CC596C"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2C5F6D" w:rsidRPr="00CC596C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平成22年度分の</w:t>
            </w:r>
            <w:r w:rsidR="00C052EB" w:rsidRPr="00CC596C">
              <w:rPr>
                <w:rFonts w:asciiTheme="majorEastAsia" w:eastAsiaTheme="majorEastAsia" w:hAnsiTheme="majorEastAsia" w:hint="eastAsia"/>
                <w:sz w:val="18"/>
                <w:szCs w:val="18"/>
              </w:rPr>
              <w:t>全国のデータは</w:t>
            </w:r>
            <w:r w:rsidR="008F6072" w:rsidRPr="00CC596C">
              <w:rPr>
                <w:rFonts w:asciiTheme="majorEastAsia" w:eastAsiaTheme="majorEastAsia" w:hAnsiTheme="majorEastAsia" w:hint="eastAsia"/>
                <w:sz w:val="18"/>
                <w:szCs w:val="18"/>
              </w:rPr>
              <w:t>集計中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72B9A" w:rsidRDefault="0002380B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>
                  <wp:extent cx="2927239" cy="1790700"/>
                  <wp:effectExtent l="0" t="0" r="698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9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19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1E4192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4E5D228C" wp14:editId="66033F41">
                  <wp:extent cx="2995846" cy="1800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4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B9A" w:rsidRDefault="00B72B9A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2B9A" w:rsidRDefault="001E4192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259E9E1F" wp14:editId="5124C841">
                  <wp:extent cx="2857500" cy="191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6" cy="191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F6072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>
                  <wp:extent cx="3059634" cy="1905000"/>
                  <wp:effectExtent l="0" t="0" r="762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19" cy="191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192" w:rsidRDefault="001E4192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3F4B" w:rsidRDefault="002C5F6D" w:rsidP="00B72B9A">
            <w:pPr>
              <w:ind w:leftChars="114" w:left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C3F4B">
              <w:rPr>
                <w:rFonts w:asciiTheme="majorEastAsia" w:eastAsiaTheme="majorEastAsia" w:hAnsiTheme="majorEastAsia" w:hint="eastAsia"/>
                <w:sz w:val="24"/>
                <w:szCs w:val="24"/>
              </w:rPr>
              <w:t>府県別に21年度の業務実績構成比をみると、新規申立件数、係属件数、終結件数</w:t>
            </w:r>
            <w:r w:rsidR="00B413F3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はそれぞれ</w:t>
            </w:r>
            <w:r w:rsidR="003C3F4B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東京都が</w:t>
            </w:r>
            <w:r w:rsidR="00B413F3">
              <w:rPr>
                <w:rFonts w:asciiTheme="majorEastAsia" w:eastAsiaTheme="majorEastAsia" w:hAnsiTheme="majorEastAsia" w:hint="eastAsia"/>
                <w:sz w:val="24"/>
                <w:szCs w:val="24"/>
              </w:rPr>
              <w:t>31％・43％・22％、次いで</w:t>
            </w:r>
            <w:r w:rsidR="003C3F4B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大阪府が</w:t>
            </w:r>
            <w:r w:rsidR="00B413F3">
              <w:rPr>
                <w:rFonts w:asciiTheme="majorEastAsia" w:eastAsiaTheme="majorEastAsia" w:hAnsiTheme="majorEastAsia" w:hint="eastAsia"/>
                <w:sz w:val="24"/>
                <w:szCs w:val="24"/>
              </w:rPr>
              <w:t>23％・18％・27％</w:t>
            </w:r>
            <w:r w:rsidR="003C3F4B">
              <w:rPr>
                <w:rFonts w:asciiTheme="majorEastAsia" w:eastAsiaTheme="majorEastAsia" w:hAnsiTheme="majorEastAsia" w:hint="eastAsia"/>
                <w:sz w:val="24"/>
                <w:szCs w:val="24"/>
              </w:rPr>
              <w:t>と最高レベルにあり、その他の府県は極めてわずかである。</w:t>
            </w:r>
            <w:r w:rsidR="00B413F3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また、命令については、大阪府36％、東京都14％、その他</w:t>
            </w:r>
            <w:r w:rsidR="00686ECA">
              <w:rPr>
                <w:rFonts w:asciiTheme="majorEastAsia" w:eastAsiaTheme="majorEastAsia" w:hAnsiTheme="majorEastAsia" w:hint="eastAsia"/>
                <w:sz w:val="24"/>
                <w:szCs w:val="24"/>
              </w:rPr>
              <w:t>の府県</w:t>
            </w:r>
            <w:r w:rsidR="00B413F3">
              <w:rPr>
                <w:rFonts w:asciiTheme="majorEastAsia" w:eastAsiaTheme="majorEastAsia" w:hAnsiTheme="majorEastAsia" w:hint="eastAsia"/>
                <w:sz w:val="24"/>
                <w:szCs w:val="24"/>
              </w:rPr>
              <w:t>は50％である。</w:t>
            </w:r>
          </w:p>
          <w:p w:rsidR="00FC67F8" w:rsidRDefault="003C3F4B" w:rsidP="00B72B9A">
            <w:pPr>
              <w:ind w:leftChars="114" w:left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・一方、委員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一人当たりの新規</w:t>
            </w:r>
            <w:r w:rsidR="00686ECA">
              <w:rPr>
                <w:rFonts w:asciiTheme="majorEastAsia" w:eastAsiaTheme="majorEastAsia" w:hAnsiTheme="majorEastAsia" w:hint="eastAsia"/>
                <w:sz w:val="24"/>
                <w:szCs w:val="24"/>
              </w:rPr>
              <w:t>申立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件数は、東京3.1件、大阪2.7件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、「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（39県平均）0.1件と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なっており、東京・大阪と「その他」の委員の業務量には</w:t>
            </w:r>
            <w:r w:rsidR="00686ECA">
              <w:rPr>
                <w:rFonts w:asciiTheme="majorEastAsia" w:eastAsiaTheme="majorEastAsia" w:hAnsiTheme="majorEastAsia" w:hint="eastAsia"/>
                <w:sz w:val="24"/>
                <w:szCs w:val="24"/>
              </w:rPr>
              <w:t>大きな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差がある。</w:t>
            </w:r>
          </w:p>
          <w:p w:rsidR="00922B1A" w:rsidRPr="00212F81" w:rsidRDefault="00922B1A" w:rsidP="00B72B9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212F81" w:rsidRDefault="00212F81" w:rsidP="00B72B9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842F73" w:rsidRPr="008F6072" w:rsidRDefault="000C42F2" w:rsidP="008F6072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F60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労働争議の調整（</w:t>
            </w:r>
            <w:r w:rsidR="0074797D" w:rsidRPr="008F60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調整事件</w:t>
            </w:r>
            <w:r w:rsidRPr="008F60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）</w:t>
            </w:r>
            <w:r w:rsidR="00842F73" w:rsidRP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B66E82" w:rsidRDefault="00B66E82" w:rsidP="00B72B9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C5F6D" w:rsidRDefault="000C42F2" w:rsidP="00B72B9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C5F6D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新規申請・終結件数ともに全国の10％を占めている。</w:t>
            </w:r>
          </w:p>
          <w:p w:rsidR="000C42F2" w:rsidRDefault="00BA1BEA" w:rsidP="00B72B9A">
            <w:pPr>
              <w:ind w:leftChars="114" w:left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C5F6D">
              <w:rPr>
                <w:rFonts w:asciiTheme="majorEastAsia" w:eastAsiaTheme="majorEastAsia" w:hAnsiTheme="majorEastAsia" w:hint="eastAsia"/>
                <w:sz w:val="24"/>
                <w:szCs w:val="24"/>
              </w:rPr>
              <w:t>公労使委員が当事者の事情をよく聞き、あっせん案を提示することなどにより、労使紛争の解決を援助する。</w:t>
            </w:r>
          </w:p>
          <w:p w:rsidR="000C42F2" w:rsidRDefault="000C42F2" w:rsidP="00B72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57827" w:rsidRDefault="0074797D" w:rsidP="006578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○新規申請件数</w:t>
            </w:r>
            <w:r w:rsidR="009628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 ○終結件数</w:t>
            </w:r>
          </w:p>
          <w:p w:rsidR="00657827" w:rsidRDefault="00657827" w:rsidP="006578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7AF8359E" wp14:editId="1F2DF546">
                  <wp:extent cx="6038850" cy="10096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EC7" w:rsidRPr="00B357AC" w:rsidRDefault="00B357AC" w:rsidP="006578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CC59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85F52">
              <w:rPr>
                <w:rFonts w:asciiTheme="majorEastAsia" w:eastAsiaTheme="majorEastAsia" w:hAnsiTheme="majorEastAsia" w:hint="eastAsia"/>
                <w:sz w:val="18"/>
                <w:szCs w:val="18"/>
              </w:rPr>
              <w:t>＊平成22年度分の全国のデータは</w:t>
            </w:r>
            <w:r w:rsidR="008F6072">
              <w:rPr>
                <w:rFonts w:asciiTheme="majorEastAsia" w:eastAsiaTheme="majorEastAsia" w:hAnsiTheme="majorEastAsia" w:hint="eastAsia"/>
                <w:sz w:val="18"/>
                <w:szCs w:val="18"/>
              </w:rPr>
              <w:t>集計中</w:t>
            </w:r>
            <w:r w:rsidRPr="00585F5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66E82" w:rsidRDefault="00B66E82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委員であることによる日常生活への影響について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（例．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間接的ではあるが、具体的な影響</w:t>
      </w:r>
      <w:r>
        <w:rPr>
          <w:rFonts w:asciiTheme="majorEastAsia" w:eastAsiaTheme="majorEastAsia" w:hAnsiTheme="majorEastAsia" w:hint="eastAsia"/>
          <w:sz w:val="24"/>
          <w:szCs w:val="24"/>
        </w:rPr>
        <w:t>など）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RPr="000735A0" w:rsidTr="001C6D84">
        <w:tc>
          <w:tcPr>
            <w:tcW w:w="10071" w:type="dxa"/>
          </w:tcPr>
          <w:p w:rsidR="00016CE2" w:rsidRDefault="00016CE2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3F4B" w:rsidRDefault="00025DB3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C3F4B">
              <w:rPr>
                <w:rFonts w:asciiTheme="majorEastAsia" w:eastAsiaTheme="majorEastAsia" w:hAnsiTheme="majorEastAsia" w:hint="eastAsia"/>
                <w:sz w:val="24"/>
                <w:szCs w:val="24"/>
              </w:rPr>
              <w:t>本来業務への影響</w:t>
            </w:r>
          </w:p>
          <w:p w:rsidR="003C3F4B" w:rsidRDefault="003C3F4B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・１つの審査事件について、公労使３名の委員が担当するが、①事件処理に</w:t>
            </w:r>
            <w:r w:rsidR="005D34FB">
              <w:rPr>
                <w:rFonts w:asciiTheme="majorEastAsia" w:eastAsiaTheme="majorEastAsia" w:hAnsiTheme="majorEastAsia" w:hint="eastAsia"/>
                <w:sz w:val="24"/>
                <w:szCs w:val="24"/>
              </w:rPr>
              <w:t>約</w:t>
            </w:r>
            <w:r w:rsidR="00037091">
              <w:rPr>
                <w:rFonts w:asciiTheme="majorEastAsia" w:eastAsiaTheme="majorEastAsia" w:hAnsiTheme="majorEastAsia" w:hint="eastAsia"/>
                <w:sz w:val="24"/>
                <w:szCs w:val="24"/>
              </w:rPr>
              <w:t>400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過去3年間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平均）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と長期間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を要すること、②各委員は常時７件程度の事件を同時並行的に処理していることから、一時期に事件処理業務が集中し、本来の業務が制限されることがある。</w:t>
            </w:r>
          </w:p>
          <w:p w:rsidR="003C3F4B" w:rsidRDefault="003C3F4B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・そうした場合、委員</w:t>
            </w:r>
            <w:r w:rsidR="0065782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によって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本来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業務を代替させるため、新たに事務所職員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7E306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ある。</w:t>
            </w:r>
            <w:r w:rsidR="00B732FC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また、休日</w:t>
            </w:r>
            <w:r w:rsidR="00122EF7">
              <w:rPr>
                <w:rFonts w:asciiTheme="majorEastAsia" w:eastAsiaTheme="majorEastAsia" w:hAnsiTheme="majorEastAsia" w:hint="eastAsia"/>
                <w:sz w:val="24"/>
                <w:szCs w:val="24"/>
              </w:rPr>
              <w:t>を委員会業務に充てているため、過重労働となっているケースもある。</w:t>
            </w:r>
          </w:p>
          <w:p w:rsidR="003C3F4B" w:rsidRDefault="003C3F4B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3F4B" w:rsidRDefault="003C3F4B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○高度な専門性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向上のための研鑽</w:t>
            </w:r>
          </w:p>
          <w:p w:rsidR="002644C5" w:rsidRDefault="003C3F4B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・委員は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、専門家が任命されるとはいえ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委員就任時から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一定期間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は、労働法の専門的知識を体系的に習得する必要があり、また、常に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個別事件の審査にあたって、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判例</w:t>
            </w:r>
            <w:r w:rsidR="005D34F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実例などの情報収集を行うなど</w:t>
            </w:r>
            <w:r w:rsidR="005D34F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努力が必要とされる。</w:t>
            </w:r>
          </w:p>
          <w:p w:rsidR="002644C5" w:rsidRDefault="002644C5" w:rsidP="00AE22EE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4C5" w:rsidRDefault="002644C5" w:rsidP="002644C5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  <w:r w:rsidR="005D34FB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対応（労使委員）</w:t>
            </w:r>
          </w:p>
          <w:p w:rsidR="002644C5" w:rsidRDefault="002644C5" w:rsidP="002644C5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・労使委員は、労働委員会委員の身分を有していることにより、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企業及び労働組合等から、担当する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審査事件や調整事件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とは直接関わりのない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個別相談が増え、その対応に時間を費やすことがある。</w:t>
            </w:r>
          </w:p>
          <w:p w:rsidR="002644C5" w:rsidRDefault="002644C5" w:rsidP="002644C5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644C5" w:rsidRDefault="002644C5" w:rsidP="002644C5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B357A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0730EC" w:rsidRDefault="002644C5" w:rsidP="008F6072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・委員は、議事進行に不満を持つ当事者から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個人名をあげて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批判を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受けるなど、精神的な負担を強いられる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ケースがある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。（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への掲載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、ビラ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の配付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C596C" w:rsidRPr="00AE343D" w:rsidRDefault="00CC596C" w:rsidP="008F6072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3D9E" w:rsidRDefault="00803D9E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　その他</w:t>
      </w:r>
    </w:p>
    <w:p w:rsidR="001C6D84" w:rsidRP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特に記載すべき事項がありましたら、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RPr="00E1683A" w:rsidTr="001C6D84">
        <w:tc>
          <w:tcPr>
            <w:tcW w:w="10071" w:type="dxa"/>
          </w:tcPr>
          <w:p w:rsidR="002644C5" w:rsidRDefault="002644C5" w:rsidP="00025DB3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2F81" w:rsidRDefault="00894DE9" w:rsidP="00025DB3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○大阪府労働委員会は、複雑・多様化する労使関係に係る審査事件を数多く取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扱い、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</w:p>
          <w:p w:rsidR="00EB7D99" w:rsidRDefault="00894DE9" w:rsidP="00EB7D99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者性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労働者性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」等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について、先進的な命令を発している。（最高裁判例で維持され</w:t>
            </w:r>
            <w:r w:rsidR="00EB7D99"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</w:t>
            </w:r>
          </w:p>
          <w:p w:rsidR="00894DE9" w:rsidRDefault="00894DE9" w:rsidP="00EB7D99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例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94DE9" w:rsidRDefault="00894DE9" w:rsidP="00025DB3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2EF7" w:rsidRDefault="00894DE9" w:rsidP="00894DE9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労働委員会は、一般的な行政委員会とは異なり、準司法的な</w:t>
            </w:r>
            <w:r w:rsidR="005D34FB">
              <w:rPr>
                <w:rFonts w:asciiTheme="majorEastAsia" w:eastAsiaTheme="majorEastAsia" w:hAnsiTheme="majorEastAsia" w:hint="eastAsia"/>
                <w:sz w:val="24"/>
                <w:szCs w:val="24"/>
              </w:rPr>
              <w:t>役割を担っており、</w:t>
            </w:r>
            <w:r w:rsidR="00122EF7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審査事件</w:t>
            </w:r>
          </w:p>
          <w:p w:rsidR="002644C5" w:rsidRDefault="00122EF7" w:rsidP="00894D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の場合、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委員一人</w:t>
            </w:r>
            <w:r w:rsidR="00686ECA">
              <w:rPr>
                <w:rFonts w:asciiTheme="majorEastAsia" w:eastAsiaTheme="majorEastAsia" w:hAnsiTheme="majorEastAsia" w:hint="eastAsia"/>
                <w:sz w:val="24"/>
                <w:szCs w:val="24"/>
              </w:rPr>
              <w:t>当たり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常時７件程度を担当し、</w:t>
            </w:r>
            <w:r w:rsidR="005D34F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委員会議</w:t>
            </w:r>
            <w:r w:rsidR="008F60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（合議制）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で最終的な判定を行うまでの間、長期間にわたり</w:t>
            </w:r>
            <w:r w:rsidR="00212F8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連続的に、</w:t>
            </w:r>
            <w:r w:rsidR="002644C5">
              <w:rPr>
                <w:rFonts w:asciiTheme="majorEastAsia" w:eastAsiaTheme="majorEastAsia" w:hAnsiTheme="majorEastAsia" w:hint="eastAsia"/>
                <w:sz w:val="24"/>
                <w:szCs w:val="24"/>
              </w:rPr>
              <w:t>各委員が自らの責任で判断しながら業務を進めているものである。</w:t>
            </w:r>
          </w:p>
          <w:p w:rsidR="002644C5" w:rsidRDefault="002644C5" w:rsidP="002644C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こうした業務</w:t>
            </w:r>
            <w:r w:rsidR="00894DE9">
              <w:rPr>
                <w:rFonts w:asciiTheme="majorEastAsia" w:eastAsiaTheme="majorEastAsia" w:hAnsiTheme="majorEastAsia" w:hint="eastAsia"/>
                <w:sz w:val="24"/>
                <w:szCs w:val="24"/>
              </w:rPr>
              <w:t>実態からみて、労働委員会委員の</w:t>
            </w:r>
            <w:r w:rsidR="00122EF7"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労働対価の算出を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日単位</w:t>
            </w:r>
            <w:r w:rsidR="00B413F3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 w:rsidR="00122EF7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ことは</w:t>
            </w:r>
            <w:r w:rsidR="00122EF7">
              <w:rPr>
                <w:rFonts w:asciiTheme="majorEastAsia" w:eastAsiaTheme="majorEastAsia" w:hAnsiTheme="majorEastAsia" w:hint="eastAsia"/>
                <w:sz w:val="24"/>
                <w:szCs w:val="24"/>
              </w:rPr>
              <w:t>必ずしも適切でないと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</w:t>
            </w:r>
            <w:r w:rsidR="009C4B37">
              <w:rPr>
                <w:rFonts w:asciiTheme="majorEastAsia" w:eastAsiaTheme="majorEastAsia" w:hAnsiTheme="majorEastAsia" w:hint="eastAsia"/>
                <w:sz w:val="24"/>
                <w:szCs w:val="24"/>
              </w:rPr>
              <w:t>られ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る。</w:t>
            </w:r>
          </w:p>
          <w:p w:rsidR="00950510" w:rsidRPr="00081DF4" w:rsidRDefault="00950510" w:rsidP="00922B1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16A8" w:rsidRPr="00914433" w:rsidRDefault="002316A8" w:rsidP="004C78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6D84" w:rsidRPr="00B732FC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C6D84" w:rsidRPr="00B732FC" w:rsidSect="001C6D84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20" w:rsidRDefault="007B5420" w:rsidP="00556BA9">
      <w:r>
        <w:separator/>
      </w:r>
    </w:p>
  </w:endnote>
  <w:endnote w:type="continuationSeparator" w:id="0">
    <w:p w:rsidR="007B5420" w:rsidRDefault="007B5420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20" w:rsidRDefault="007B5420" w:rsidP="00556BA9">
      <w:r>
        <w:separator/>
      </w:r>
    </w:p>
  </w:footnote>
  <w:footnote w:type="continuationSeparator" w:id="0">
    <w:p w:rsidR="007B5420" w:rsidRDefault="007B5420" w:rsidP="0055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33F6"/>
    <w:multiLevelType w:val="hybridMultilevel"/>
    <w:tmpl w:val="5B2286F0"/>
    <w:lvl w:ilvl="0" w:tplc="3498F9C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4"/>
    <w:rsid w:val="00002AF3"/>
    <w:rsid w:val="00016CE2"/>
    <w:rsid w:val="000208A9"/>
    <w:rsid w:val="00020F67"/>
    <w:rsid w:val="000219AA"/>
    <w:rsid w:val="000220F9"/>
    <w:rsid w:val="0002380B"/>
    <w:rsid w:val="00025DB3"/>
    <w:rsid w:val="00037091"/>
    <w:rsid w:val="00043047"/>
    <w:rsid w:val="00056218"/>
    <w:rsid w:val="000730EC"/>
    <w:rsid w:val="000735A0"/>
    <w:rsid w:val="00081DF4"/>
    <w:rsid w:val="00091503"/>
    <w:rsid w:val="000B7A96"/>
    <w:rsid w:val="000C42F2"/>
    <w:rsid w:val="00114505"/>
    <w:rsid w:val="00122EF7"/>
    <w:rsid w:val="0014358C"/>
    <w:rsid w:val="00177088"/>
    <w:rsid w:val="0019377E"/>
    <w:rsid w:val="001C6D84"/>
    <w:rsid w:val="001E4192"/>
    <w:rsid w:val="001F6222"/>
    <w:rsid w:val="002000D9"/>
    <w:rsid w:val="002106FF"/>
    <w:rsid w:val="00212F81"/>
    <w:rsid w:val="00216C78"/>
    <w:rsid w:val="00220904"/>
    <w:rsid w:val="002316A8"/>
    <w:rsid w:val="00232A28"/>
    <w:rsid w:val="002644C5"/>
    <w:rsid w:val="002C5F6D"/>
    <w:rsid w:val="003035D7"/>
    <w:rsid w:val="00305032"/>
    <w:rsid w:val="003114A8"/>
    <w:rsid w:val="0032388F"/>
    <w:rsid w:val="00342649"/>
    <w:rsid w:val="00353EC7"/>
    <w:rsid w:val="003930AC"/>
    <w:rsid w:val="0039569F"/>
    <w:rsid w:val="0039653E"/>
    <w:rsid w:val="00397C74"/>
    <w:rsid w:val="003C13BE"/>
    <w:rsid w:val="003C3F4B"/>
    <w:rsid w:val="003C4111"/>
    <w:rsid w:val="003D2972"/>
    <w:rsid w:val="003E39C6"/>
    <w:rsid w:val="00402707"/>
    <w:rsid w:val="00407527"/>
    <w:rsid w:val="004418A9"/>
    <w:rsid w:val="00451F7F"/>
    <w:rsid w:val="00455C0B"/>
    <w:rsid w:val="00464813"/>
    <w:rsid w:val="00472879"/>
    <w:rsid w:val="004808F0"/>
    <w:rsid w:val="00490DA4"/>
    <w:rsid w:val="004A4F25"/>
    <w:rsid w:val="004C7817"/>
    <w:rsid w:val="004D0D61"/>
    <w:rsid w:val="004D4A89"/>
    <w:rsid w:val="004E4993"/>
    <w:rsid w:val="004F0762"/>
    <w:rsid w:val="005239AA"/>
    <w:rsid w:val="00526883"/>
    <w:rsid w:val="00545256"/>
    <w:rsid w:val="005473A2"/>
    <w:rsid w:val="00556BA9"/>
    <w:rsid w:val="00576671"/>
    <w:rsid w:val="00585F52"/>
    <w:rsid w:val="005A22CF"/>
    <w:rsid w:val="005D1E17"/>
    <w:rsid w:val="005D34FB"/>
    <w:rsid w:val="005D6F65"/>
    <w:rsid w:val="006404AB"/>
    <w:rsid w:val="0065648F"/>
    <w:rsid w:val="00657827"/>
    <w:rsid w:val="006809DD"/>
    <w:rsid w:val="00686ECA"/>
    <w:rsid w:val="006C11E2"/>
    <w:rsid w:val="006E28D8"/>
    <w:rsid w:val="006F08C9"/>
    <w:rsid w:val="00714656"/>
    <w:rsid w:val="00721264"/>
    <w:rsid w:val="0074797D"/>
    <w:rsid w:val="007506B0"/>
    <w:rsid w:val="00762F8A"/>
    <w:rsid w:val="007960CC"/>
    <w:rsid w:val="007A13C1"/>
    <w:rsid w:val="007B5420"/>
    <w:rsid w:val="007D0FE3"/>
    <w:rsid w:val="007E3062"/>
    <w:rsid w:val="00803D9E"/>
    <w:rsid w:val="00842F73"/>
    <w:rsid w:val="00851110"/>
    <w:rsid w:val="00894DE9"/>
    <w:rsid w:val="00896F9A"/>
    <w:rsid w:val="008A35E1"/>
    <w:rsid w:val="008B05B5"/>
    <w:rsid w:val="008B2F3A"/>
    <w:rsid w:val="008F6072"/>
    <w:rsid w:val="00914433"/>
    <w:rsid w:val="00922B0B"/>
    <w:rsid w:val="00922B1A"/>
    <w:rsid w:val="00937D55"/>
    <w:rsid w:val="00950510"/>
    <w:rsid w:val="0095053D"/>
    <w:rsid w:val="009628F5"/>
    <w:rsid w:val="00966BCE"/>
    <w:rsid w:val="009849CA"/>
    <w:rsid w:val="009A3717"/>
    <w:rsid w:val="009C4B37"/>
    <w:rsid w:val="00A02310"/>
    <w:rsid w:val="00A323FB"/>
    <w:rsid w:val="00A510DF"/>
    <w:rsid w:val="00A70F35"/>
    <w:rsid w:val="00A831D3"/>
    <w:rsid w:val="00A92B14"/>
    <w:rsid w:val="00A935B7"/>
    <w:rsid w:val="00AC0E4E"/>
    <w:rsid w:val="00AC60FD"/>
    <w:rsid w:val="00AE02B5"/>
    <w:rsid w:val="00AE22EE"/>
    <w:rsid w:val="00AE343D"/>
    <w:rsid w:val="00B13A4B"/>
    <w:rsid w:val="00B247FB"/>
    <w:rsid w:val="00B357AC"/>
    <w:rsid w:val="00B40641"/>
    <w:rsid w:val="00B413F3"/>
    <w:rsid w:val="00B64B0F"/>
    <w:rsid w:val="00B66E82"/>
    <w:rsid w:val="00B70742"/>
    <w:rsid w:val="00B726DF"/>
    <w:rsid w:val="00B72B9A"/>
    <w:rsid w:val="00B732FC"/>
    <w:rsid w:val="00B76544"/>
    <w:rsid w:val="00B9343A"/>
    <w:rsid w:val="00BA1BEA"/>
    <w:rsid w:val="00BA6A32"/>
    <w:rsid w:val="00BD687F"/>
    <w:rsid w:val="00BE328C"/>
    <w:rsid w:val="00BE5366"/>
    <w:rsid w:val="00C052EB"/>
    <w:rsid w:val="00C11CA0"/>
    <w:rsid w:val="00C150D0"/>
    <w:rsid w:val="00C31FDF"/>
    <w:rsid w:val="00C55347"/>
    <w:rsid w:val="00C60E50"/>
    <w:rsid w:val="00C61C3C"/>
    <w:rsid w:val="00C95978"/>
    <w:rsid w:val="00CC596C"/>
    <w:rsid w:val="00CE467F"/>
    <w:rsid w:val="00CE7A25"/>
    <w:rsid w:val="00CF4F53"/>
    <w:rsid w:val="00CF7F51"/>
    <w:rsid w:val="00D121C8"/>
    <w:rsid w:val="00D25802"/>
    <w:rsid w:val="00D3597F"/>
    <w:rsid w:val="00D509E0"/>
    <w:rsid w:val="00D905EC"/>
    <w:rsid w:val="00D97106"/>
    <w:rsid w:val="00DA523E"/>
    <w:rsid w:val="00DE69B4"/>
    <w:rsid w:val="00E13CC7"/>
    <w:rsid w:val="00E1683A"/>
    <w:rsid w:val="00E46EA8"/>
    <w:rsid w:val="00EA012F"/>
    <w:rsid w:val="00EB24E8"/>
    <w:rsid w:val="00EB7D99"/>
    <w:rsid w:val="00EC22FC"/>
    <w:rsid w:val="00EC4977"/>
    <w:rsid w:val="00ED06DE"/>
    <w:rsid w:val="00EF3696"/>
    <w:rsid w:val="00F3746F"/>
    <w:rsid w:val="00F65ADF"/>
    <w:rsid w:val="00FC0E21"/>
    <w:rsid w:val="00FC2D14"/>
    <w:rsid w:val="00FC67F8"/>
    <w:rsid w:val="00FD5408"/>
    <w:rsid w:val="00FE3ECD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aa">
    <w:name w:val="List Paragraph"/>
    <w:basedOn w:val="a"/>
    <w:uiPriority w:val="34"/>
    <w:qFormat/>
    <w:rsid w:val="008F607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1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aa">
    <w:name w:val="List Paragraph"/>
    <w:basedOn w:val="a"/>
    <w:uiPriority w:val="34"/>
    <w:qFormat/>
    <w:rsid w:val="008F607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1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AB9A-953A-4B36-AD21-397F3C35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2011-05-23T04:39:00Z</cp:lastPrinted>
  <dcterms:created xsi:type="dcterms:W3CDTF">2011-05-23T08:54:00Z</dcterms:created>
  <dcterms:modified xsi:type="dcterms:W3CDTF">2011-06-01T00:42:00Z</dcterms:modified>
</cp:coreProperties>
</file>