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BA11AE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FEC9" wp14:editId="7CF04CDE">
                <wp:simplePos x="0" y="0"/>
                <wp:positionH relativeFrom="column">
                  <wp:posOffset>5262880</wp:posOffset>
                </wp:positionH>
                <wp:positionV relativeFrom="paragraph">
                  <wp:posOffset>-600710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AE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791658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１</w:t>
                            </w:r>
                          </w:p>
                          <w:bookmarkEnd w:id="0"/>
                          <w:p w:rsidR="00BA11AE" w:rsidRPr="00FC6516" w:rsidRDefault="00BA11AE" w:rsidP="00BA11A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FEC9" id="Rectangle 6" o:spid="_x0000_s1026" style="position:absolute;left:0;text-align:left;margin-left:414.4pt;margin-top:-47.3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" strokeweight="1.75pt">
                <v:textbox inset="1mm,.7pt,1mm,.7pt">
                  <w:txbxContent>
                    <w:p w:rsidR="00BA11AE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791658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１</w:t>
                      </w:r>
                    </w:p>
                    <w:bookmarkEnd w:id="1"/>
                    <w:p w:rsidR="00BA11AE" w:rsidRPr="00FC6516" w:rsidRDefault="00BA11AE" w:rsidP="00BA11A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A232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56056B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6056B" w:rsidRPr="00E81DA5" w:rsidRDefault="0056056B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</w:t>
      </w:r>
      <w:r w:rsidR="000A2327">
        <w:rPr>
          <w:rFonts w:ascii="ＭＳ 明朝" w:eastAsia="ＭＳ 明朝" w:hAnsi="ＭＳ 明朝" w:hint="eastAsia"/>
          <w:sz w:val="24"/>
          <w:szCs w:val="24"/>
        </w:rPr>
        <w:t>５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0A2327">
        <w:rPr>
          <w:rFonts w:ascii="ＭＳ 明朝" w:eastAsia="ＭＳ 明朝" w:hAnsi="ＭＳ 明朝" w:hint="eastAsia"/>
          <w:sz w:val="24"/>
          <w:szCs w:val="24"/>
        </w:rPr>
        <w:t>２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56056B" w:rsidRDefault="005354FD" w:rsidP="00ED3ABA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ED3ABA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112D6A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F6115B" w:rsidRDefault="00AF04BC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6115B">
        <w:rPr>
          <w:rFonts w:ascii="ＭＳ ゴシック" w:eastAsia="ＭＳ ゴシック" w:hAnsi="ＭＳ ゴシック" w:hint="eastAsia"/>
          <w:sz w:val="24"/>
          <w:szCs w:val="24"/>
        </w:rPr>
        <w:t>② 説明員</w:t>
      </w:r>
    </w:p>
    <w:p w:rsidR="000F7405" w:rsidRPr="00F6115B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F6115B">
        <w:rPr>
          <w:rFonts w:ascii="ＭＳ 明朝" w:eastAsia="ＭＳ 明朝" w:hAnsi="ＭＳ 明朝" w:hint="eastAsia"/>
          <w:sz w:val="24"/>
          <w:szCs w:val="24"/>
        </w:rPr>
        <w:t>・　次の出席者を</w:t>
      </w:r>
      <w:r w:rsidR="00007964" w:rsidRPr="00F6115B">
        <w:rPr>
          <w:rFonts w:ascii="ＭＳ 明朝" w:eastAsia="ＭＳ 明朝" w:hAnsi="ＭＳ 明朝" w:hint="eastAsia"/>
          <w:sz w:val="24"/>
          <w:szCs w:val="24"/>
        </w:rPr>
        <w:t>基本と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・　知事、副知事、</w:t>
      </w:r>
      <w:r w:rsidR="003E32C0" w:rsidRPr="00F6115B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 w:rsidRPr="00F6115B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F6115B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F6115B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F6115B">
        <w:rPr>
          <w:rFonts w:ascii="ＭＳ 明朝" w:eastAsia="ＭＳ 明朝" w:hAnsi="ＭＳ 明朝" w:hint="eastAsia"/>
          <w:sz w:val="24"/>
          <w:szCs w:val="24"/>
        </w:rPr>
        <w:t>質問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F6115B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F6115B">
        <w:rPr>
          <w:rFonts w:ascii="ＭＳ 明朝" w:eastAsia="ＭＳ 明朝" w:hAnsi="ＭＳ 明朝" w:hint="eastAsia"/>
          <w:sz w:val="24"/>
          <w:szCs w:val="24"/>
        </w:rPr>
        <w:t>政策企画部長、総務部長、財務部長及び答弁を求められた部局長</w:t>
      </w:r>
    </w:p>
    <w:p w:rsidR="009B7C92" w:rsidRPr="00F6115B" w:rsidRDefault="00283887" w:rsidP="00ED3ABA">
      <w:pPr>
        <w:spacing w:line="280" w:lineRule="exact"/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 w:rsidRPr="00F6115B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 w:rsidRPr="00F6115B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F6115B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F6115B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F61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ウ）</w:t>
      </w:r>
      <w:r w:rsidR="000A2327" w:rsidRPr="00F6115B">
        <w:rPr>
          <w:rFonts w:ascii="ＭＳ 明朝" w:eastAsia="ＭＳ 明朝" w:hAnsi="ＭＳ 明朝" w:hint="eastAsia"/>
          <w:sz w:val="24"/>
          <w:szCs w:val="24"/>
        </w:rPr>
        <w:t>閉会日</w:t>
      </w:r>
    </w:p>
    <w:p w:rsidR="00BC6140" w:rsidRPr="00ED3ABA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ED3AB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D3ABA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D048B">
      <w:pPr>
        <w:spacing w:beforeLines="50" w:before="162"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1C4C6A" w:rsidRPr="00283887" w:rsidRDefault="001C4C6A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Pr="00E81DA5" w:rsidRDefault="00294DCA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 w:rsidRPr="00F6115B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F6115B">
        <w:rPr>
          <w:rFonts w:ascii="ＭＳ 明朝" w:eastAsia="ＭＳ 明朝" w:hAnsi="ＭＳ 明朝" w:hint="eastAsia"/>
          <w:sz w:val="24"/>
          <w:szCs w:val="24"/>
        </w:rPr>
        <w:t>より広い会議室を利用することとし、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56056B" w:rsidRDefault="00675390" w:rsidP="006D048B">
      <w:pPr>
        <w:spacing w:beforeLines="50" w:before="162"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6056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② 常任委員会</w:t>
      </w:r>
    </w:p>
    <w:p w:rsidR="00675390" w:rsidRPr="00F6115B" w:rsidRDefault="00675390" w:rsidP="00ED3ABA">
      <w:pPr>
        <w:spacing w:line="280" w:lineRule="exact"/>
        <w:ind w:left="960" w:hangingChars="400" w:hanging="960"/>
        <w:rPr>
          <w:rFonts w:ascii="ＭＳ 明朝" w:eastAsia="ＭＳ 明朝" w:hAnsi="ＭＳ 明朝"/>
          <w:d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560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理事者においては可能な限り出席者の絞込みに努めるとともに、説明員は休憩又は質問者ごとに入れ替わり出席する。</w:t>
      </w:r>
    </w:p>
    <w:p w:rsidR="00335E79" w:rsidRPr="001D332B" w:rsidRDefault="00335E79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ED3ABA">
      <w:pPr>
        <w:spacing w:line="280" w:lineRule="exact"/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6D048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3D27FC" w:rsidRPr="00E81DA5" w:rsidRDefault="003D27FC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の傍聴者は、必ず入室時に手指消毒を行うとともにマスク（不織布マスクを推奨、フェイスシールド及びマウスシールドは不可）を着用する。</w:t>
      </w:r>
    </w:p>
    <w:p w:rsidR="00CA5D7E" w:rsidRPr="00283887" w:rsidRDefault="00CA5D7E" w:rsidP="00ED3ABA">
      <w:pPr>
        <w:spacing w:line="28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6D048B">
      <w:pPr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ED3ABA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6D048B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ED3AB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ED3ABA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6D048B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ED3ABA">
      <w:pPr>
        <w:spacing w:line="28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ED3ABA">
      <w:pgSz w:w="11906" w:h="16838" w:code="9"/>
      <w:pgMar w:top="1418" w:right="1134" w:bottom="1134" w:left="1134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07964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A2327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27FC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056B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10599"/>
    <w:rsid w:val="00654C43"/>
    <w:rsid w:val="00675390"/>
    <w:rsid w:val="0068468D"/>
    <w:rsid w:val="00697602"/>
    <w:rsid w:val="006A58E1"/>
    <w:rsid w:val="006A695B"/>
    <w:rsid w:val="006B1229"/>
    <w:rsid w:val="006B3F13"/>
    <w:rsid w:val="006C38E7"/>
    <w:rsid w:val="006C3A03"/>
    <w:rsid w:val="006D048B"/>
    <w:rsid w:val="007079EA"/>
    <w:rsid w:val="007228F6"/>
    <w:rsid w:val="007306E2"/>
    <w:rsid w:val="00753C81"/>
    <w:rsid w:val="007543ED"/>
    <w:rsid w:val="007668D7"/>
    <w:rsid w:val="00771018"/>
    <w:rsid w:val="00783181"/>
    <w:rsid w:val="00791658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06AD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B74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6746B"/>
    <w:rsid w:val="00D723A9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0AB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D3ABA"/>
    <w:rsid w:val="00EE1A93"/>
    <w:rsid w:val="00F00D04"/>
    <w:rsid w:val="00F2453A"/>
    <w:rsid w:val="00F45818"/>
    <w:rsid w:val="00F6115B"/>
    <w:rsid w:val="00F91DD0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16A25-E117-4078-A04C-D806272A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井上　裕太</cp:lastModifiedBy>
  <cp:revision>34</cp:revision>
  <cp:lastPrinted>2023-03-06T04:36:00Z</cp:lastPrinted>
  <dcterms:created xsi:type="dcterms:W3CDTF">2021-05-13T00:46:00Z</dcterms:created>
  <dcterms:modified xsi:type="dcterms:W3CDTF">2023-03-06T04:36:00Z</dcterms:modified>
</cp:coreProperties>
</file>