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B9F1D" w14:textId="77777777" w:rsidR="00A14F65" w:rsidRPr="00C81ACA" w:rsidRDefault="00A14F65" w:rsidP="00A14F65">
      <w:pPr>
        <w:rPr>
          <w:b/>
          <w:kern w:val="0"/>
          <w:sz w:val="28"/>
        </w:rPr>
      </w:pPr>
      <w:bookmarkStart w:id="0" w:name="_GoBack"/>
      <w:bookmarkEnd w:id="0"/>
      <w:r w:rsidRPr="00C81ACA">
        <w:rPr>
          <w:rFonts w:hint="eastAsia"/>
          <w:b/>
          <w:kern w:val="0"/>
          <w:sz w:val="28"/>
        </w:rPr>
        <w:t>Ⅱ</w:t>
      </w:r>
      <w:r w:rsidRPr="00A14F65">
        <w:rPr>
          <w:rFonts w:hint="eastAsia"/>
          <w:b/>
          <w:spacing w:val="57"/>
          <w:kern w:val="0"/>
          <w:sz w:val="28"/>
          <w:fitText w:val="3840" w:id="176919809"/>
        </w:rPr>
        <w:t xml:space="preserve">　一般会計、特別会</w:t>
      </w:r>
      <w:r w:rsidRPr="00A14F65">
        <w:rPr>
          <w:rFonts w:hint="eastAsia"/>
          <w:b/>
          <w:spacing w:val="2"/>
          <w:kern w:val="0"/>
          <w:sz w:val="28"/>
          <w:fitText w:val="3840" w:id="176919809"/>
        </w:rPr>
        <w:t>計</w:t>
      </w:r>
    </w:p>
    <w:p w14:paraId="24B3EB09" w14:textId="77777777" w:rsidR="00A14F65" w:rsidRDefault="00A14F65" w:rsidP="00A14F65">
      <w:pPr>
        <w:ind w:firstLineChars="100" w:firstLine="203"/>
        <w:rPr>
          <w:kern w:val="0"/>
          <w:sz w:val="22"/>
          <w:szCs w:val="22"/>
        </w:rPr>
      </w:pPr>
      <w:r w:rsidRPr="005468EB">
        <w:rPr>
          <w:rFonts w:hint="eastAsia"/>
          <w:kern w:val="0"/>
          <w:sz w:val="22"/>
          <w:szCs w:val="22"/>
        </w:rPr>
        <w:t>１　概要</w:t>
      </w:r>
    </w:p>
    <w:p w14:paraId="254C8765" w14:textId="77777777" w:rsidR="00A14F65" w:rsidRPr="00727480" w:rsidRDefault="00A14F65" w:rsidP="00A14F65">
      <w:pPr>
        <w:ind w:firstLineChars="200" w:firstLine="407"/>
        <w:rPr>
          <w:kern w:val="0"/>
          <w:sz w:val="22"/>
          <w:szCs w:val="22"/>
        </w:rPr>
      </w:pPr>
      <w:r w:rsidRPr="00727480">
        <w:rPr>
          <w:rFonts w:hint="eastAsia"/>
          <w:kern w:val="0"/>
          <w:sz w:val="22"/>
          <w:szCs w:val="22"/>
        </w:rPr>
        <w:t>(1)　一般会計、特別会計の決算状況</w:t>
      </w:r>
    </w:p>
    <w:p w14:paraId="03F30057" w14:textId="77777777" w:rsidR="00A14F65" w:rsidRDefault="00A14F65" w:rsidP="00A14F65">
      <w:pPr>
        <w:rPr>
          <w:kern w:val="0"/>
          <w:sz w:val="22"/>
          <w:szCs w:val="22"/>
        </w:rPr>
      </w:pPr>
      <w:r>
        <w:rPr>
          <w:rFonts w:hint="eastAsia"/>
          <w:noProof/>
          <w:szCs w:val="22"/>
        </w:rPr>
        <w:drawing>
          <wp:inline distT="0" distB="0" distL="0" distR="0" wp14:anchorId="345A50F1" wp14:editId="07DFFB1B">
            <wp:extent cx="5391150" cy="3095625"/>
            <wp:effectExtent l="19050" t="0" r="0" b="0"/>
            <wp:docPr id="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60CA7F" w14:textId="77777777" w:rsidR="00A14F65" w:rsidRDefault="00A14F65" w:rsidP="00A14F65">
      <w:pPr>
        <w:spacing w:line="360" w:lineRule="exact"/>
        <w:ind w:firstLineChars="400" w:firstLine="813"/>
        <w:rPr>
          <w:rFonts w:hAnsi="ＭＳ 明朝"/>
          <w:sz w:val="22"/>
          <w:szCs w:val="22"/>
        </w:rPr>
      </w:pPr>
      <w:r w:rsidRPr="007A5106">
        <w:rPr>
          <w:rFonts w:hAnsi="ＭＳ 明朝" w:hint="eastAsia"/>
          <w:sz w:val="22"/>
          <w:szCs w:val="22"/>
        </w:rPr>
        <w:t>一般会計、特別会計の予算現額</w:t>
      </w:r>
      <w:r>
        <w:rPr>
          <w:rFonts w:hAnsi="ＭＳ 明朝" w:hint="eastAsia"/>
          <w:sz w:val="22"/>
          <w:szCs w:val="22"/>
        </w:rPr>
        <w:t>４</w:t>
      </w:r>
      <w:r w:rsidRPr="007A5106">
        <w:rPr>
          <w:rFonts w:hAnsi="ＭＳ 明朝" w:hint="eastAsia"/>
          <w:sz w:val="22"/>
          <w:szCs w:val="22"/>
        </w:rPr>
        <w:t>兆1,019億8,000万円に対し、歳入決算額は</w:t>
      </w:r>
      <w:r>
        <w:rPr>
          <w:rFonts w:hAnsi="ＭＳ 明朝" w:hint="eastAsia"/>
          <w:sz w:val="22"/>
          <w:szCs w:val="22"/>
        </w:rPr>
        <w:t>４</w:t>
      </w:r>
      <w:r w:rsidRPr="007A5106">
        <w:rPr>
          <w:rFonts w:hAnsi="ＭＳ 明朝" w:hint="eastAsia"/>
          <w:sz w:val="22"/>
          <w:szCs w:val="22"/>
        </w:rPr>
        <w:t>兆</w:t>
      </w:r>
    </w:p>
    <w:p w14:paraId="48452927" w14:textId="77777777" w:rsidR="00A14F65" w:rsidRPr="007A5106" w:rsidRDefault="00A14F65" w:rsidP="00A14F65">
      <w:pPr>
        <w:spacing w:line="360" w:lineRule="exact"/>
        <w:ind w:firstLineChars="300" w:firstLine="610"/>
        <w:rPr>
          <w:rFonts w:hAnsi="ＭＳ 明朝"/>
          <w:sz w:val="22"/>
          <w:szCs w:val="22"/>
        </w:rPr>
      </w:pPr>
      <w:r w:rsidRPr="007A5106">
        <w:rPr>
          <w:rFonts w:hAnsi="ＭＳ 明朝" w:hint="eastAsia"/>
          <w:sz w:val="22"/>
          <w:szCs w:val="22"/>
        </w:rPr>
        <w:t>695億8,300万円で収入歩合は99.21％となっている。</w:t>
      </w:r>
    </w:p>
    <w:p w14:paraId="20488DCB" w14:textId="77777777" w:rsidR="00A14F65" w:rsidRPr="007A5106" w:rsidRDefault="00A14F65" w:rsidP="00A14F65">
      <w:pPr>
        <w:spacing w:line="360" w:lineRule="exact"/>
        <w:ind w:firstLineChars="400" w:firstLine="813"/>
        <w:rPr>
          <w:rFonts w:hAnsi="ＭＳ 明朝"/>
          <w:sz w:val="22"/>
          <w:szCs w:val="22"/>
        </w:rPr>
      </w:pPr>
      <w:r w:rsidRPr="007A5106">
        <w:rPr>
          <w:rFonts w:hAnsi="ＭＳ 明朝" w:hint="eastAsia"/>
          <w:sz w:val="22"/>
          <w:szCs w:val="22"/>
        </w:rPr>
        <w:t>また、歳出決算額は</w:t>
      </w:r>
      <w:r>
        <w:rPr>
          <w:rFonts w:hAnsi="ＭＳ 明朝" w:hint="eastAsia"/>
          <w:sz w:val="22"/>
          <w:szCs w:val="22"/>
        </w:rPr>
        <w:t>４</w:t>
      </w:r>
      <w:r w:rsidRPr="007A5106">
        <w:rPr>
          <w:rFonts w:hAnsi="ＭＳ 明朝" w:hint="eastAsia"/>
          <w:sz w:val="22"/>
          <w:szCs w:val="22"/>
        </w:rPr>
        <w:t>兆406億9,900万円でその執行率は98.51％となっている。</w:t>
      </w:r>
    </w:p>
    <w:p w14:paraId="1A74694F" w14:textId="77777777" w:rsidR="00A14F65" w:rsidRDefault="00A14F65" w:rsidP="00A14F65">
      <w:pPr>
        <w:spacing w:line="360" w:lineRule="exact"/>
        <w:ind w:firstLineChars="300" w:firstLine="610"/>
        <w:rPr>
          <w:rFonts w:hAnsi="ＭＳ 明朝"/>
          <w:sz w:val="22"/>
          <w:szCs w:val="22"/>
        </w:rPr>
      </w:pPr>
      <w:r w:rsidRPr="007A5106">
        <w:rPr>
          <w:rFonts w:hAnsi="ＭＳ 明朝" w:hint="eastAsia"/>
          <w:sz w:val="22"/>
          <w:szCs w:val="22"/>
        </w:rPr>
        <w:t>当年度の決算額を前年度と比較すると、歳入決算額で8,535億1,400万円、率にして</w:t>
      </w:r>
    </w:p>
    <w:p w14:paraId="7EF8B6E4" w14:textId="77777777" w:rsidR="00A14F65" w:rsidRPr="003207DE" w:rsidRDefault="00A14F65" w:rsidP="00A14F65">
      <w:pPr>
        <w:spacing w:line="360" w:lineRule="exact"/>
        <w:ind w:firstLineChars="300" w:firstLine="610"/>
        <w:rPr>
          <w:rFonts w:hAnsi="ＭＳ 明朝"/>
          <w:kern w:val="0"/>
          <w:sz w:val="22"/>
          <w:szCs w:val="22"/>
        </w:rPr>
      </w:pPr>
      <w:r w:rsidRPr="007A5106">
        <w:rPr>
          <w:rFonts w:hAnsi="ＭＳ 明朝" w:hint="eastAsia"/>
          <w:sz w:val="22"/>
          <w:szCs w:val="22"/>
        </w:rPr>
        <w:t>17.34％、歳出決算額で8,397億100万円、率にして17.21％の減少となっている。</w:t>
      </w:r>
    </w:p>
    <w:p w14:paraId="268D35B3" w14:textId="77777777" w:rsidR="00A14F65" w:rsidRPr="00E45ECE" w:rsidRDefault="00A14F65" w:rsidP="00A14F65">
      <w:pPr>
        <w:rPr>
          <w:rFonts w:hAnsi="ＭＳ 明朝"/>
          <w:kern w:val="0"/>
          <w:sz w:val="22"/>
          <w:szCs w:val="22"/>
        </w:rPr>
      </w:pPr>
    </w:p>
    <w:p w14:paraId="1251EB06" w14:textId="77777777" w:rsidR="00A14F65" w:rsidRDefault="00A14F65" w:rsidP="00A14F65"/>
    <w:p w14:paraId="6BB1F43B" w14:textId="77777777" w:rsidR="00A14F65" w:rsidRDefault="00A14F65" w:rsidP="00A14F65">
      <w:pPr>
        <w:widowControl/>
        <w:jc w:val="left"/>
      </w:pPr>
      <w:r>
        <w:br w:type="page"/>
      </w:r>
    </w:p>
    <w:p w14:paraId="24F37E56" w14:textId="77777777" w:rsidR="00A14F65" w:rsidRPr="003F4D37" w:rsidRDefault="00A14F65" w:rsidP="00A14F65">
      <w:pPr>
        <w:ind w:firstLineChars="100" w:firstLine="203"/>
        <w:rPr>
          <w:color w:val="FFFFFF"/>
          <w:kern w:val="0"/>
          <w:sz w:val="22"/>
          <w:szCs w:val="22"/>
        </w:rPr>
      </w:pPr>
      <w:r w:rsidRPr="003F4D37">
        <w:rPr>
          <w:rFonts w:hint="eastAsia"/>
          <w:color w:val="FFFFFF"/>
          <w:kern w:val="0"/>
          <w:sz w:val="22"/>
          <w:szCs w:val="22"/>
        </w:rPr>
        <w:lastRenderedPageBreak/>
        <w:t>１　概要</w:t>
      </w:r>
    </w:p>
    <w:p w14:paraId="2C42694F" w14:textId="77777777" w:rsidR="00A14F65" w:rsidRDefault="00A14F65" w:rsidP="00A14F65">
      <w:pPr>
        <w:ind w:firstLineChars="200" w:firstLine="407"/>
        <w:rPr>
          <w:sz w:val="22"/>
          <w:szCs w:val="22"/>
        </w:rPr>
      </w:pPr>
      <w:r w:rsidRPr="00C05877">
        <w:rPr>
          <w:rFonts w:asciiTheme="minorEastAsia" w:eastAsiaTheme="minorEastAsia" w:hAnsiTheme="minorEastAsia" w:hint="eastAsia"/>
          <w:sz w:val="22"/>
          <w:szCs w:val="22"/>
        </w:rPr>
        <w:t>(2)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一般会計、特別会計の純計</w:t>
      </w:r>
    </w:p>
    <w:p w14:paraId="0ACEBACB" w14:textId="77777777" w:rsidR="00A14F65" w:rsidRPr="00E120E1" w:rsidRDefault="00A14F65" w:rsidP="00A14F65">
      <w:pPr>
        <w:ind w:leftChars="200" w:left="940" w:hangingChars="286" w:hanging="553"/>
        <w:rPr>
          <w:noProof/>
          <w:szCs w:val="22"/>
        </w:rPr>
      </w:pPr>
    </w:p>
    <w:p w14:paraId="37E0AEFA" w14:textId="77777777" w:rsidR="00A14F65" w:rsidRDefault="00A14F65" w:rsidP="00A14F65">
      <w:pPr>
        <w:ind w:leftChars="200" w:left="940" w:hangingChars="286" w:hanging="553"/>
        <w:rPr>
          <w:sz w:val="22"/>
          <w:szCs w:val="22"/>
        </w:rPr>
      </w:pPr>
      <w:r>
        <w:rPr>
          <w:rFonts w:hint="eastAsia"/>
          <w:noProof/>
          <w:szCs w:val="22"/>
        </w:rPr>
        <w:drawing>
          <wp:inline distT="0" distB="0" distL="0" distR="0" wp14:anchorId="36B0EE36" wp14:editId="3CAF5852">
            <wp:extent cx="5829300" cy="4000500"/>
            <wp:effectExtent l="1905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A56D42" w14:textId="77777777" w:rsidR="00A14F65" w:rsidRDefault="00A14F65" w:rsidP="00A14F65">
      <w:pPr>
        <w:ind w:firstLineChars="200" w:firstLine="407"/>
        <w:rPr>
          <w:sz w:val="22"/>
          <w:szCs w:val="22"/>
        </w:rPr>
      </w:pPr>
    </w:p>
    <w:p w14:paraId="025D5EE9" w14:textId="77777777" w:rsidR="00A14F65" w:rsidRDefault="00A14F65" w:rsidP="00A14F65">
      <w:pPr>
        <w:spacing w:line="360" w:lineRule="exact"/>
        <w:ind w:leftChars="202" w:left="390" w:firstLineChars="200" w:firstLine="407"/>
        <w:rPr>
          <w:rFonts w:hAnsi="ＭＳ 明朝"/>
          <w:sz w:val="22"/>
          <w:szCs w:val="22"/>
        </w:rPr>
      </w:pPr>
      <w:r w:rsidRPr="007A5106">
        <w:rPr>
          <w:rFonts w:hAnsi="ＭＳ 明朝" w:hint="eastAsia"/>
          <w:sz w:val="22"/>
          <w:szCs w:val="22"/>
        </w:rPr>
        <w:t>一般会計と特別会計、特別会計相互の間に繰入れ、繰出しがあるので、その重複部</w:t>
      </w:r>
    </w:p>
    <w:p w14:paraId="530ED3A1" w14:textId="77777777" w:rsidR="00A14F65" w:rsidRDefault="00A14F65" w:rsidP="00A14F65">
      <w:pPr>
        <w:spacing w:line="360" w:lineRule="exact"/>
        <w:ind w:leftChars="202" w:left="390" w:firstLineChars="100" w:firstLine="203"/>
        <w:rPr>
          <w:rFonts w:hAnsi="ＭＳ 明朝"/>
          <w:sz w:val="22"/>
          <w:szCs w:val="22"/>
        </w:rPr>
      </w:pPr>
      <w:r w:rsidRPr="007A5106">
        <w:rPr>
          <w:rFonts w:hAnsi="ＭＳ 明朝" w:hint="eastAsia"/>
          <w:sz w:val="22"/>
          <w:szCs w:val="22"/>
        </w:rPr>
        <w:t>分を差し引いた歳入純計額は</w:t>
      </w:r>
      <w:r>
        <w:rPr>
          <w:rFonts w:hAnsi="ＭＳ 明朝" w:hint="eastAsia"/>
          <w:sz w:val="22"/>
          <w:szCs w:val="22"/>
        </w:rPr>
        <w:t>３</w:t>
      </w:r>
      <w:r w:rsidRPr="007A5106">
        <w:rPr>
          <w:rFonts w:hAnsi="ＭＳ 明朝" w:hint="eastAsia"/>
          <w:sz w:val="22"/>
          <w:szCs w:val="22"/>
        </w:rPr>
        <w:t>兆7,425億5,400万円で、前年度と比較して8,465億</w:t>
      </w:r>
    </w:p>
    <w:p w14:paraId="7AD9B02A" w14:textId="77777777" w:rsidR="00A14F65" w:rsidRDefault="00A14F65" w:rsidP="00A14F65">
      <w:pPr>
        <w:spacing w:line="360" w:lineRule="exact"/>
        <w:ind w:leftChars="202" w:left="390" w:firstLineChars="100" w:firstLine="203"/>
        <w:rPr>
          <w:rFonts w:hAnsi="ＭＳ 明朝"/>
          <w:sz w:val="22"/>
          <w:szCs w:val="22"/>
        </w:rPr>
      </w:pPr>
      <w:r w:rsidRPr="007A5106">
        <w:rPr>
          <w:rFonts w:hAnsi="ＭＳ 明朝" w:hint="eastAsia"/>
          <w:sz w:val="22"/>
          <w:szCs w:val="22"/>
        </w:rPr>
        <w:t>7,700万円、18.45％の減少となっており、歳出純計額は</w:t>
      </w:r>
      <w:r>
        <w:rPr>
          <w:rFonts w:hAnsi="ＭＳ 明朝" w:hint="eastAsia"/>
          <w:sz w:val="22"/>
          <w:szCs w:val="22"/>
        </w:rPr>
        <w:t>３</w:t>
      </w:r>
      <w:r w:rsidRPr="007A5106">
        <w:rPr>
          <w:rFonts w:hAnsi="ＭＳ 明朝" w:hint="eastAsia"/>
          <w:sz w:val="22"/>
          <w:szCs w:val="22"/>
        </w:rPr>
        <w:t>兆7,136億7,000万円で、</w:t>
      </w:r>
    </w:p>
    <w:p w14:paraId="0C482296" w14:textId="77777777" w:rsidR="00A14F65" w:rsidRPr="00054C34" w:rsidRDefault="00A14F65" w:rsidP="00A14F65">
      <w:pPr>
        <w:spacing w:line="360" w:lineRule="exact"/>
        <w:ind w:leftChars="202" w:left="390" w:firstLineChars="100" w:firstLine="203"/>
        <w:rPr>
          <w:rFonts w:hAnsi="ＭＳ 明朝"/>
          <w:sz w:val="22"/>
          <w:szCs w:val="22"/>
        </w:rPr>
      </w:pPr>
      <w:r w:rsidRPr="007A5106">
        <w:rPr>
          <w:rFonts w:hAnsi="ＭＳ 明朝" w:hint="eastAsia"/>
          <w:sz w:val="22"/>
          <w:szCs w:val="22"/>
        </w:rPr>
        <w:t>前年度と比較して8,327億6,400万円、18.32％の減少となっている。</w:t>
      </w:r>
    </w:p>
    <w:p w14:paraId="46639A8D" w14:textId="77777777" w:rsidR="00A14F65" w:rsidRPr="00375F79" w:rsidRDefault="00A14F65" w:rsidP="00A14F65">
      <w:pPr>
        <w:spacing w:line="360" w:lineRule="exact"/>
        <w:ind w:leftChars="410" w:left="792" w:firstLineChars="100" w:firstLine="203"/>
        <w:rPr>
          <w:rFonts w:hAnsi="ＭＳ 明朝"/>
          <w:sz w:val="22"/>
          <w:szCs w:val="22"/>
        </w:rPr>
      </w:pPr>
    </w:p>
    <w:p w14:paraId="762CE6B1" w14:textId="77777777" w:rsidR="00A14F65" w:rsidRDefault="00A14F65" w:rsidP="00A14F65"/>
    <w:p w14:paraId="339AFB7A" w14:textId="77777777" w:rsidR="00A14F65" w:rsidRDefault="00A14F65" w:rsidP="00A14F65">
      <w:pPr>
        <w:widowControl/>
        <w:jc w:val="left"/>
      </w:pPr>
      <w:r>
        <w:br w:type="page"/>
      </w:r>
    </w:p>
    <w:p w14:paraId="5BAE55CE" w14:textId="77777777" w:rsidR="00A14F65" w:rsidRDefault="00A14F65" w:rsidP="00A14F65">
      <w:pPr>
        <w:ind w:firstLineChars="200" w:firstLine="407"/>
        <w:rPr>
          <w:sz w:val="22"/>
          <w:szCs w:val="22"/>
        </w:rPr>
      </w:pPr>
      <w:r w:rsidRPr="00C05877">
        <w:rPr>
          <w:rFonts w:asciiTheme="minorEastAsia" w:eastAsiaTheme="minorEastAsia" w:hAnsiTheme="minorEastAsia" w:hint="eastAsia"/>
          <w:sz w:val="22"/>
          <w:szCs w:val="22"/>
        </w:rPr>
        <w:lastRenderedPageBreak/>
        <w:t xml:space="preserve"> (3)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一般会計、特別会計の実質収支</w:t>
      </w:r>
    </w:p>
    <w:p w14:paraId="4A1E9B8C" w14:textId="77777777" w:rsidR="00A14F65" w:rsidRDefault="00A14F65" w:rsidP="00A14F65">
      <w:pPr>
        <w:ind w:leftChars="270" w:left="599" w:rightChars="53" w:right="102" w:hangingChars="40" w:hanging="77"/>
        <w:rPr>
          <w:sz w:val="22"/>
          <w:szCs w:val="22"/>
        </w:rPr>
      </w:pPr>
      <w:r>
        <w:rPr>
          <w:rFonts w:hint="eastAsia"/>
          <w:noProof/>
          <w:szCs w:val="22"/>
        </w:rPr>
        <w:drawing>
          <wp:inline distT="0" distB="0" distL="0" distR="0" wp14:anchorId="2DDC1F4D" wp14:editId="70A99AD2">
            <wp:extent cx="5610225" cy="3831604"/>
            <wp:effectExtent l="19050" t="0" r="9525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563" cy="383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42304A" w14:textId="77777777" w:rsidR="00A14F65" w:rsidRPr="00630801" w:rsidRDefault="00A14F65" w:rsidP="00A14F65">
      <w:pPr>
        <w:ind w:leftChars="270" w:left="599" w:hangingChars="40" w:hanging="77"/>
        <w:rPr>
          <w:szCs w:val="20"/>
        </w:rPr>
      </w:pPr>
      <w:r>
        <w:rPr>
          <w:rFonts w:hint="eastAsia"/>
          <w:noProof/>
          <w:szCs w:val="20"/>
        </w:rPr>
        <w:drawing>
          <wp:inline distT="0" distB="0" distL="0" distR="0" wp14:anchorId="35A55FED" wp14:editId="245DE7AF">
            <wp:extent cx="4010025" cy="2502642"/>
            <wp:effectExtent l="19050" t="0" r="9525" b="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337" cy="250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4345F8" w14:textId="77777777" w:rsidR="00A14F65" w:rsidRDefault="00A14F65" w:rsidP="00A14F65">
      <w:pPr>
        <w:spacing w:line="360" w:lineRule="exact"/>
        <w:ind w:leftChars="270" w:left="522" w:firstLineChars="150" w:firstLine="305"/>
        <w:rPr>
          <w:rFonts w:hAnsi="ＭＳ 明朝"/>
          <w:sz w:val="22"/>
          <w:szCs w:val="22"/>
        </w:rPr>
      </w:pPr>
      <w:r w:rsidRPr="00C04033">
        <w:rPr>
          <w:rFonts w:hAnsi="ＭＳ 明朝" w:hint="eastAsia"/>
          <w:sz w:val="22"/>
          <w:szCs w:val="22"/>
        </w:rPr>
        <w:t>一般会計における歳入総額から歳出総額を差し引いた形式収支は、</w:t>
      </w:r>
      <w:r>
        <w:rPr>
          <w:rFonts w:hAnsi="ＭＳ 明朝" w:hint="eastAsia"/>
          <w:sz w:val="22"/>
          <w:szCs w:val="22"/>
        </w:rPr>
        <w:t>183</w:t>
      </w:r>
      <w:r w:rsidRPr="00C04033">
        <w:rPr>
          <w:rFonts w:hAnsi="ＭＳ 明朝" w:hint="eastAsia"/>
          <w:sz w:val="22"/>
          <w:szCs w:val="22"/>
        </w:rPr>
        <w:t>億</w:t>
      </w:r>
      <w:r>
        <w:rPr>
          <w:rFonts w:hAnsi="ＭＳ 明朝" w:hint="eastAsia"/>
          <w:sz w:val="22"/>
          <w:szCs w:val="22"/>
        </w:rPr>
        <w:t>2,0</w:t>
      </w:r>
      <w:r w:rsidRPr="00C04033">
        <w:rPr>
          <w:rFonts w:hAnsi="ＭＳ 明朝" w:hint="eastAsia"/>
          <w:sz w:val="22"/>
          <w:szCs w:val="22"/>
        </w:rPr>
        <w:t>00万</w:t>
      </w:r>
    </w:p>
    <w:p w14:paraId="48E0390C" w14:textId="77777777" w:rsidR="00A14F65" w:rsidRPr="00C04033" w:rsidRDefault="00A14F65" w:rsidP="00A14F65">
      <w:pPr>
        <w:spacing w:line="360" w:lineRule="exact"/>
        <w:ind w:firstLineChars="300" w:firstLine="610"/>
        <w:rPr>
          <w:rFonts w:hAnsi="ＭＳ 明朝"/>
          <w:sz w:val="22"/>
          <w:szCs w:val="22"/>
        </w:rPr>
      </w:pPr>
      <w:r w:rsidRPr="00C04033">
        <w:rPr>
          <w:rFonts w:hAnsi="ＭＳ 明朝" w:hint="eastAsia"/>
          <w:sz w:val="22"/>
          <w:szCs w:val="22"/>
        </w:rPr>
        <w:t>円の黒字で、</w:t>
      </w:r>
      <w:r>
        <w:rPr>
          <w:rFonts w:hAnsi="ＭＳ 明朝" w:hint="eastAsia"/>
          <w:sz w:val="22"/>
          <w:szCs w:val="22"/>
        </w:rPr>
        <w:t>６</w:t>
      </w:r>
      <w:r w:rsidRPr="00C04033">
        <w:rPr>
          <w:rFonts w:hAnsi="ＭＳ 明朝" w:hint="eastAsia"/>
          <w:sz w:val="22"/>
          <w:szCs w:val="22"/>
        </w:rPr>
        <w:t>年連続の黒字となった。</w:t>
      </w:r>
    </w:p>
    <w:p w14:paraId="5CF9683C" w14:textId="77777777" w:rsidR="00A14F65" w:rsidRDefault="00A14F65" w:rsidP="00A14F65">
      <w:pPr>
        <w:spacing w:line="360" w:lineRule="exact"/>
        <w:ind w:leftChars="322" w:left="622" w:firstLineChars="100" w:firstLine="203"/>
        <w:rPr>
          <w:rFonts w:hAnsi="ＭＳ 明朝"/>
          <w:sz w:val="22"/>
          <w:szCs w:val="22"/>
        </w:rPr>
      </w:pPr>
      <w:r w:rsidRPr="00C04033">
        <w:rPr>
          <w:rFonts w:hAnsi="ＭＳ 明朝" w:hint="eastAsia"/>
          <w:sz w:val="22"/>
          <w:szCs w:val="22"/>
        </w:rPr>
        <w:t>歳入総額の中には翌年度へ繰り越すべき財源</w:t>
      </w:r>
      <w:r>
        <w:rPr>
          <w:rFonts w:hAnsi="ＭＳ 明朝" w:hint="eastAsia"/>
          <w:sz w:val="22"/>
          <w:szCs w:val="22"/>
        </w:rPr>
        <w:t>77</w:t>
      </w:r>
      <w:r w:rsidRPr="00C04033">
        <w:rPr>
          <w:rFonts w:hAnsi="ＭＳ 明朝" w:hint="eastAsia"/>
          <w:sz w:val="22"/>
          <w:szCs w:val="22"/>
        </w:rPr>
        <w:t>億</w:t>
      </w:r>
      <w:r>
        <w:rPr>
          <w:rFonts w:hAnsi="ＭＳ 明朝" w:hint="eastAsia"/>
          <w:sz w:val="22"/>
          <w:szCs w:val="22"/>
        </w:rPr>
        <w:t>7,500</w:t>
      </w:r>
      <w:r w:rsidRPr="00C04033">
        <w:rPr>
          <w:rFonts w:hAnsi="ＭＳ 明朝" w:hint="eastAsia"/>
          <w:sz w:val="22"/>
          <w:szCs w:val="22"/>
        </w:rPr>
        <w:t>万円が含まれており、形</w:t>
      </w:r>
    </w:p>
    <w:p w14:paraId="6720AEB2" w14:textId="77777777" w:rsidR="00A14F65" w:rsidRDefault="00A14F65" w:rsidP="00A14F65">
      <w:pPr>
        <w:spacing w:line="360" w:lineRule="exact"/>
        <w:ind w:leftChars="322" w:left="622"/>
        <w:rPr>
          <w:rFonts w:hAnsi="ＭＳ 明朝"/>
          <w:sz w:val="22"/>
          <w:szCs w:val="22"/>
        </w:rPr>
      </w:pPr>
      <w:r w:rsidRPr="00C04033">
        <w:rPr>
          <w:rFonts w:hAnsi="ＭＳ 明朝" w:hint="eastAsia"/>
          <w:sz w:val="22"/>
          <w:szCs w:val="22"/>
        </w:rPr>
        <w:t>式収支からこれを差し引いた実質収支は</w:t>
      </w:r>
      <w:r>
        <w:rPr>
          <w:rFonts w:hAnsi="ＭＳ 明朝" w:hint="eastAsia"/>
          <w:sz w:val="22"/>
          <w:szCs w:val="22"/>
        </w:rPr>
        <w:t>105</w:t>
      </w:r>
      <w:r w:rsidRPr="00C04033">
        <w:rPr>
          <w:rFonts w:hAnsi="ＭＳ 明朝" w:hint="eastAsia"/>
          <w:sz w:val="22"/>
          <w:szCs w:val="22"/>
        </w:rPr>
        <w:t>億</w:t>
      </w:r>
      <w:r>
        <w:rPr>
          <w:rFonts w:hAnsi="ＭＳ 明朝" w:hint="eastAsia"/>
          <w:sz w:val="22"/>
          <w:szCs w:val="22"/>
        </w:rPr>
        <w:t>4,400</w:t>
      </w:r>
      <w:r w:rsidRPr="00C04033">
        <w:rPr>
          <w:rFonts w:hAnsi="ＭＳ 明朝" w:hint="eastAsia"/>
          <w:sz w:val="22"/>
          <w:szCs w:val="22"/>
        </w:rPr>
        <w:t>万円の黒字となっている。実質</w:t>
      </w:r>
    </w:p>
    <w:p w14:paraId="6BDAC7E4" w14:textId="77777777" w:rsidR="00A14F65" w:rsidRPr="00C04033" w:rsidRDefault="00A14F65" w:rsidP="00A14F65">
      <w:pPr>
        <w:spacing w:line="360" w:lineRule="exact"/>
        <w:ind w:leftChars="322" w:left="622"/>
        <w:rPr>
          <w:rFonts w:hAnsi="ＭＳ 明朝"/>
          <w:sz w:val="22"/>
          <w:szCs w:val="22"/>
        </w:rPr>
      </w:pPr>
      <w:r w:rsidRPr="00C04033">
        <w:rPr>
          <w:rFonts w:hAnsi="ＭＳ 明朝" w:hint="eastAsia"/>
          <w:sz w:val="22"/>
          <w:szCs w:val="22"/>
        </w:rPr>
        <w:t>収支は前年度に比べ、</w:t>
      </w:r>
      <w:r>
        <w:rPr>
          <w:rFonts w:hAnsi="ＭＳ 明朝" w:hint="eastAsia"/>
          <w:sz w:val="22"/>
          <w:szCs w:val="22"/>
        </w:rPr>
        <w:t>151</w:t>
      </w:r>
      <w:r w:rsidRPr="00C04033">
        <w:rPr>
          <w:rFonts w:hAnsi="ＭＳ 明朝" w:hint="eastAsia"/>
          <w:sz w:val="22"/>
          <w:szCs w:val="22"/>
        </w:rPr>
        <w:t>億</w:t>
      </w:r>
      <w:r>
        <w:rPr>
          <w:rFonts w:hAnsi="ＭＳ 明朝" w:hint="eastAsia"/>
          <w:sz w:val="22"/>
          <w:szCs w:val="22"/>
        </w:rPr>
        <w:t>9,500万円悪化したが</w:t>
      </w:r>
      <w:r w:rsidRPr="00C04033">
        <w:rPr>
          <w:rFonts w:hAnsi="ＭＳ 明朝" w:hint="eastAsia"/>
          <w:sz w:val="22"/>
          <w:szCs w:val="22"/>
        </w:rPr>
        <w:t>、</w:t>
      </w:r>
      <w:r>
        <w:rPr>
          <w:rFonts w:hAnsi="ＭＳ 明朝" w:hint="eastAsia"/>
          <w:sz w:val="22"/>
          <w:szCs w:val="22"/>
        </w:rPr>
        <w:t>４年</w:t>
      </w:r>
      <w:r w:rsidRPr="00C04033">
        <w:rPr>
          <w:rFonts w:hAnsi="ＭＳ 明朝" w:hint="eastAsia"/>
          <w:sz w:val="22"/>
          <w:szCs w:val="22"/>
        </w:rPr>
        <w:t xml:space="preserve">連続の黒字となった。　</w:t>
      </w:r>
    </w:p>
    <w:p w14:paraId="43335EE1" w14:textId="77777777" w:rsidR="00A14F65" w:rsidRDefault="00A14F65" w:rsidP="00A14F65">
      <w:pPr>
        <w:spacing w:line="360" w:lineRule="exact"/>
        <w:ind w:leftChars="270" w:left="522" w:firstLineChars="150" w:firstLine="305"/>
        <w:rPr>
          <w:rFonts w:hAnsi="ＭＳ 明朝"/>
          <w:sz w:val="22"/>
          <w:szCs w:val="22"/>
        </w:rPr>
      </w:pPr>
      <w:r w:rsidRPr="00C04033">
        <w:rPr>
          <w:rFonts w:hAnsi="ＭＳ 明朝" w:hint="eastAsia"/>
          <w:sz w:val="22"/>
          <w:szCs w:val="22"/>
        </w:rPr>
        <w:t>一方、特別会計における実質収支は</w:t>
      </w:r>
      <w:r>
        <w:rPr>
          <w:rFonts w:hAnsi="ＭＳ 明朝" w:hint="eastAsia"/>
          <w:sz w:val="22"/>
          <w:szCs w:val="22"/>
        </w:rPr>
        <w:t>98</w:t>
      </w:r>
      <w:r w:rsidRPr="00C04033">
        <w:rPr>
          <w:rFonts w:hAnsi="ＭＳ 明朝" w:hint="eastAsia"/>
          <w:sz w:val="22"/>
          <w:szCs w:val="22"/>
        </w:rPr>
        <w:t>億円の黒字となっている。</w:t>
      </w:r>
    </w:p>
    <w:p w14:paraId="24CBAA8B" w14:textId="77777777" w:rsidR="00A65959" w:rsidRPr="00A14F65" w:rsidRDefault="00A65959"/>
    <w:sectPr w:rsidR="00A65959" w:rsidRPr="00A14F65" w:rsidSect="00A14F65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65"/>
    <w:rsid w:val="00526DA8"/>
    <w:rsid w:val="00A14F65"/>
    <w:rsid w:val="00A6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6C9378"/>
  <w15:docId w15:val="{A4B86DA1-2B16-4CA9-A832-7D088E33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F65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4F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62751-188B-484B-94EB-F136EEC0E598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09C6EB0-FFC9-40DB-8D4C-7F8BB9D30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5909E-CD9A-49CA-AB2E-D1A86EC9A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2</cp:revision>
  <dcterms:created xsi:type="dcterms:W3CDTF">2020-11-13T05:41:00Z</dcterms:created>
  <dcterms:modified xsi:type="dcterms:W3CDTF">2020-11-13T05:41:00Z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0x010100D166967E4254324A904FE56398FA4065</vt:lpwstr>
  </property>
</Properties>
</file>