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72BCB7" w14:textId="77777777" w:rsidR="00AD7DC7" w:rsidRPr="000B380D" w:rsidRDefault="000D1554" w:rsidP="008C103A">
      <w:pPr>
        <w:jc w:val="left"/>
        <w:rPr>
          <w:rFonts w:ascii="ＭＳ 明朝" w:eastAsia="ＭＳ 明朝" w:hAnsi="ＭＳ 明朝"/>
          <w:b/>
          <w:sz w:val="24"/>
          <w:szCs w:val="19"/>
        </w:rPr>
      </w:pPr>
      <w:r>
        <w:rPr>
          <w:rFonts w:ascii="ＭＳ 明朝" w:eastAsia="ＭＳ 明朝" w:hAnsi="ＭＳ 明朝" w:hint="eastAsia"/>
          <w:b/>
          <w:noProof/>
          <w:sz w:val="24"/>
          <w:szCs w:val="19"/>
        </w:rPr>
        <mc:AlternateContent>
          <mc:Choice Requires="wps">
            <w:drawing>
              <wp:anchor distT="0" distB="0" distL="114300" distR="114300" simplePos="0" relativeHeight="251659264" behindDoc="0" locked="0" layoutInCell="1" allowOverlap="1" wp14:anchorId="64CE56FB" wp14:editId="655842F6">
                <wp:simplePos x="0" y="0"/>
                <wp:positionH relativeFrom="column">
                  <wp:posOffset>8098790</wp:posOffset>
                </wp:positionH>
                <wp:positionV relativeFrom="paragraph">
                  <wp:posOffset>60960</wp:posOffset>
                </wp:positionV>
                <wp:extent cx="1454785" cy="308759"/>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1454785" cy="308759"/>
                        </a:xfrm>
                        <a:prstGeom prst="rect">
                          <a:avLst/>
                        </a:prstGeom>
                        <a:solidFill>
                          <a:schemeClr val="lt1"/>
                        </a:solidFill>
                        <a:ln w="6350">
                          <a:solidFill>
                            <a:prstClr val="black"/>
                          </a:solidFill>
                        </a:ln>
                      </wps:spPr>
                      <wps:txbx>
                        <w:txbxContent>
                          <w:p w14:paraId="1510F945" w14:textId="57B517CA" w:rsidR="000D1554" w:rsidRPr="000D1554" w:rsidRDefault="00492195" w:rsidP="000D1554">
                            <w:pPr>
                              <w:jc w:val="center"/>
                              <w:rPr>
                                <w:rFonts w:ascii="ＭＳ 明朝" w:eastAsia="ＭＳ 明朝" w:hAnsi="ＭＳ 明朝"/>
                                <w:b/>
                              </w:rPr>
                            </w:pPr>
                            <w:r>
                              <w:rPr>
                                <w:rFonts w:ascii="ＭＳ 明朝" w:eastAsia="ＭＳ 明朝" w:hAnsi="ＭＳ 明朝" w:hint="eastAsia"/>
                                <w:b/>
                              </w:rPr>
                              <w:t>参考</w:t>
                            </w:r>
                            <w:r w:rsidR="000D1554" w:rsidRPr="000D1554">
                              <w:rPr>
                                <w:rFonts w:ascii="ＭＳ 明朝" w:eastAsia="ＭＳ 明朝" w:hAnsi="ＭＳ 明朝" w:hint="eastAsia"/>
                                <w:b/>
                              </w:rPr>
                              <w:t>資料</w:t>
                            </w:r>
                            <w:r w:rsidR="0040451A">
                              <w:rPr>
                                <w:rFonts w:ascii="ＭＳ 明朝" w:eastAsia="ＭＳ 明朝" w:hAnsi="ＭＳ 明朝" w:hint="eastAsia"/>
                                <w:b/>
                              </w:rPr>
                              <w:t>１</w:t>
                            </w:r>
                            <w:r w:rsidR="0040451A">
                              <w:rPr>
                                <w:rFonts w:ascii="ＭＳ 明朝" w:eastAsia="ＭＳ 明朝" w:hAnsi="ＭＳ 明朝"/>
                                <w:b/>
                              </w:rPr>
                              <w:t>－</w:t>
                            </w:r>
                            <w:r w:rsidR="00F10DAF">
                              <w:rPr>
                                <w:rFonts w:ascii="ＭＳ 明朝" w:eastAsia="ＭＳ 明朝" w:hAnsi="ＭＳ 明朝" w:hint="eastAsia"/>
                                <w:b/>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E56FB" id="_x0000_t202" coordsize="21600,21600" o:spt="202" path="m,l,21600r21600,l21600,xe">
                <v:stroke joinstyle="miter"/>
                <v:path gradientshapeok="t" o:connecttype="rect"/>
              </v:shapetype>
              <v:shape id="テキスト ボックス 1" o:spid="_x0000_s1026" type="#_x0000_t202" style="position:absolute;margin-left:637.7pt;margin-top:4.8pt;width:114.5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" fillcolor="white [3201]" strokeweight=".5pt">
                <v:textbox>
                  <w:txbxContent>
                    <w:p w14:paraId="1510F945" w14:textId="57B517CA" w:rsidR="000D1554" w:rsidRPr="000D1554" w:rsidRDefault="00492195" w:rsidP="000D1554">
                      <w:pPr>
                        <w:jc w:val="center"/>
                        <w:rPr>
                          <w:rFonts w:ascii="ＭＳ 明朝" w:eastAsia="ＭＳ 明朝" w:hAnsi="ＭＳ 明朝"/>
                          <w:b/>
                        </w:rPr>
                      </w:pPr>
                      <w:r>
                        <w:rPr>
                          <w:rFonts w:ascii="ＭＳ 明朝" w:eastAsia="ＭＳ 明朝" w:hAnsi="ＭＳ 明朝" w:hint="eastAsia"/>
                          <w:b/>
                        </w:rPr>
                        <w:t>参考</w:t>
                      </w:r>
                      <w:r w:rsidR="000D1554" w:rsidRPr="000D1554">
                        <w:rPr>
                          <w:rFonts w:ascii="ＭＳ 明朝" w:eastAsia="ＭＳ 明朝" w:hAnsi="ＭＳ 明朝" w:hint="eastAsia"/>
                          <w:b/>
                        </w:rPr>
                        <w:t>資料</w:t>
                      </w:r>
                      <w:r w:rsidR="0040451A">
                        <w:rPr>
                          <w:rFonts w:ascii="ＭＳ 明朝" w:eastAsia="ＭＳ 明朝" w:hAnsi="ＭＳ 明朝" w:hint="eastAsia"/>
                          <w:b/>
                        </w:rPr>
                        <w:t>１</w:t>
                      </w:r>
                      <w:r w:rsidR="0040451A">
                        <w:rPr>
                          <w:rFonts w:ascii="ＭＳ 明朝" w:eastAsia="ＭＳ 明朝" w:hAnsi="ＭＳ 明朝"/>
                          <w:b/>
                        </w:rPr>
                        <w:t>－</w:t>
                      </w:r>
                      <w:r w:rsidR="00F10DAF">
                        <w:rPr>
                          <w:rFonts w:ascii="ＭＳ 明朝" w:eastAsia="ＭＳ 明朝" w:hAnsi="ＭＳ 明朝" w:hint="eastAsia"/>
                          <w:b/>
                        </w:rPr>
                        <w:t>７</w:t>
                      </w:r>
                    </w:p>
                  </w:txbxContent>
                </v:textbox>
              </v:shape>
            </w:pict>
          </mc:Fallback>
        </mc:AlternateContent>
      </w:r>
      <w:r w:rsidR="00AD7DC7" w:rsidRPr="000B380D">
        <w:rPr>
          <w:rFonts w:ascii="ＭＳ 明朝" w:eastAsia="ＭＳ 明朝" w:hAnsi="ＭＳ 明朝" w:hint="eastAsia"/>
          <w:b/>
          <w:sz w:val="24"/>
          <w:szCs w:val="19"/>
        </w:rPr>
        <w:t>（参考）</w:t>
      </w:r>
    </w:p>
    <w:p w14:paraId="54BE73BF" w14:textId="77777777" w:rsidR="004132A9" w:rsidRPr="000B380D" w:rsidRDefault="00AD7DC7" w:rsidP="00AD7DC7">
      <w:pPr>
        <w:jc w:val="center"/>
        <w:rPr>
          <w:rFonts w:ascii="ＭＳ 明朝" w:eastAsia="ＭＳ 明朝" w:hAnsi="ＭＳ 明朝"/>
          <w:b/>
          <w:sz w:val="24"/>
          <w:szCs w:val="19"/>
        </w:rPr>
      </w:pPr>
      <w:r w:rsidRPr="000B380D">
        <w:rPr>
          <w:rFonts w:ascii="ＭＳ 明朝" w:eastAsia="ＭＳ 明朝" w:hAnsi="ＭＳ 明朝" w:hint="eastAsia"/>
          <w:b/>
          <w:sz w:val="24"/>
          <w:szCs w:val="19"/>
        </w:rPr>
        <w:t>公立大学法人大阪第一期中期計画に関する用語</w:t>
      </w:r>
    </w:p>
    <w:tbl>
      <w:tblPr>
        <w:tblStyle w:val="a3"/>
        <w:tblW w:w="0" w:type="auto"/>
        <w:tblLook w:val="04A0" w:firstRow="1" w:lastRow="0" w:firstColumn="1" w:lastColumn="0" w:noHBand="0" w:noVBand="1"/>
      </w:tblPr>
      <w:tblGrid>
        <w:gridCol w:w="2160"/>
        <w:gridCol w:w="11282"/>
        <w:gridCol w:w="1620"/>
      </w:tblGrid>
      <w:tr w:rsidR="000B380D" w:rsidRPr="000B380D" w14:paraId="0FB18319" w14:textId="77777777" w:rsidTr="000B380D">
        <w:trPr>
          <w:trHeight w:val="375"/>
          <w:tblHeader/>
        </w:trPr>
        <w:tc>
          <w:tcPr>
            <w:tcW w:w="2160" w:type="dxa"/>
            <w:shd w:val="clear" w:color="auto" w:fill="F2F2F2" w:themeFill="background1" w:themeFillShade="F2"/>
            <w:noWrap/>
            <w:hideMark/>
          </w:tcPr>
          <w:p w14:paraId="296B5A3A" w14:textId="77777777" w:rsidR="000B380D" w:rsidRPr="000B380D" w:rsidRDefault="000B380D" w:rsidP="005E1310">
            <w:pPr>
              <w:jc w:val="center"/>
              <w:rPr>
                <w:rFonts w:ascii="ＭＳ 明朝" w:eastAsia="ＭＳ 明朝" w:hAnsi="ＭＳ 明朝"/>
              </w:rPr>
            </w:pPr>
            <w:r w:rsidRPr="000B380D">
              <w:rPr>
                <w:rFonts w:ascii="ＭＳ 明朝" w:eastAsia="ＭＳ 明朝" w:hAnsi="ＭＳ 明朝" w:hint="eastAsia"/>
              </w:rPr>
              <w:t>用語</w:t>
            </w:r>
          </w:p>
        </w:tc>
        <w:tc>
          <w:tcPr>
            <w:tcW w:w="11282" w:type="dxa"/>
            <w:shd w:val="clear" w:color="auto" w:fill="F2F2F2" w:themeFill="background1" w:themeFillShade="F2"/>
            <w:noWrap/>
            <w:hideMark/>
          </w:tcPr>
          <w:p w14:paraId="167135DE" w14:textId="77777777" w:rsidR="000B380D" w:rsidRPr="000B380D" w:rsidRDefault="000B380D" w:rsidP="005E1310">
            <w:pPr>
              <w:jc w:val="center"/>
              <w:rPr>
                <w:rFonts w:ascii="ＭＳ 明朝" w:eastAsia="ＭＳ 明朝" w:hAnsi="ＭＳ 明朝"/>
              </w:rPr>
            </w:pPr>
            <w:r w:rsidRPr="000B380D">
              <w:rPr>
                <w:rFonts w:ascii="ＭＳ 明朝" w:eastAsia="ＭＳ 明朝" w:hAnsi="ＭＳ 明朝" w:hint="eastAsia"/>
              </w:rPr>
              <w:t>意味</w:t>
            </w:r>
          </w:p>
        </w:tc>
        <w:tc>
          <w:tcPr>
            <w:tcW w:w="1620" w:type="dxa"/>
            <w:shd w:val="clear" w:color="auto" w:fill="F2F2F2" w:themeFill="background1" w:themeFillShade="F2"/>
            <w:noWrap/>
            <w:hideMark/>
          </w:tcPr>
          <w:p w14:paraId="102C547A" w14:textId="77777777" w:rsidR="000B380D" w:rsidRPr="000B380D" w:rsidRDefault="000B380D" w:rsidP="005E1310">
            <w:pPr>
              <w:jc w:val="center"/>
              <w:rPr>
                <w:rFonts w:ascii="ＭＳ 明朝" w:eastAsia="ＭＳ 明朝" w:hAnsi="ＭＳ 明朝"/>
              </w:rPr>
            </w:pPr>
            <w:r w:rsidRPr="000B380D">
              <w:rPr>
                <w:rFonts w:ascii="ＭＳ 明朝" w:eastAsia="ＭＳ 明朝" w:hAnsi="ＭＳ 明朝" w:hint="eastAsia"/>
              </w:rPr>
              <w:t>計画番号</w:t>
            </w:r>
          </w:p>
        </w:tc>
      </w:tr>
      <w:tr w:rsidR="000B380D" w:rsidRPr="000B380D" w14:paraId="7DCDBC7A" w14:textId="77777777" w:rsidTr="000B380D">
        <w:trPr>
          <w:trHeight w:val="1304"/>
        </w:trPr>
        <w:tc>
          <w:tcPr>
            <w:tcW w:w="2160" w:type="dxa"/>
            <w:hideMark/>
          </w:tcPr>
          <w:p w14:paraId="27FF011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IR</w:t>
            </w:r>
          </w:p>
        </w:tc>
        <w:tc>
          <w:tcPr>
            <w:tcW w:w="11282" w:type="dxa"/>
            <w:hideMark/>
          </w:tcPr>
          <w:p w14:paraId="7CD9B33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Institutional Researchの略。</w:t>
            </w:r>
            <w:r w:rsidRPr="000B380D">
              <w:rPr>
                <w:rFonts w:ascii="ＭＳ 明朝" w:eastAsia="ＭＳ 明朝" w:hAnsi="ＭＳ 明朝" w:hint="eastAsia"/>
              </w:rPr>
              <w:br/>
              <w:t>高等教育機関が自機関に関する情報の一元的な収集、調査及び分析を実施する機能。教育や研究に関する様々なことについての計画立案、政策形成、意思決定を円滑に行うことを支援するための情報提供を目的としており、IR を専門に担当する部署や職員が置かれることもある。</w:t>
            </w:r>
          </w:p>
        </w:tc>
        <w:tc>
          <w:tcPr>
            <w:tcW w:w="1620" w:type="dxa"/>
            <w:hideMark/>
          </w:tcPr>
          <w:p w14:paraId="46BDE38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No.3、No.13、No.46</w:t>
            </w:r>
          </w:p>
        </w:tc>
      </w:tr>
      <w:tr w:rsidR="000B380D" w:rsidRPr="000B380D" w14:paraId="3EF0969B" w14:textId="77777777" w:rsidTr="000B380D">
        <w:trPr>
          <w:trHeight w:val="907"/>
        </w:trPr>
        <w:tc>
          <w:tcPr>
            <w:tcW w:w="2160" w:type="dxa"/>
            <w:hideMark/>
          </w:tcPr>
          <w:p w14:paraId="58C494B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アクセシビリティセンター</w:t>
            </w:r>
          </w:p>
        </w:tc>
        <w:tc>
          <w:tcPr>
            <w:tcW w:w="11282" w:type="dxa"/>
            <w:hideMark/>
          </w:tcPr>
          <w:p w14:paraId="088B4A1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障がい、性的指向や性自認等を理由として支援を必要とする学生のための全学的な相談・支援窓口として、大阪公立大学に設置する機関。専門職員を配置し、各部局への円滑な配慮・支援を促すための助言・提案（支援機器・支援者・ノウハウの提供）学生・教職員の意識向上のための啓発・推進活動を行うもの。</w:t>
            </w:r>
          </w:p>
        </w:tc>
        <w:tc>
          <w:tcPr>
            <w:tcW w:w="1620" w:type="dxa"/>
            <w:hideMark/>
          </w:tcPr>
          <w:p w14:paraId="62A7157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No.10</w:t>
            </w:r>
          </w:p>
        </w:tc>
      </w:tr>
      <w:tr w:rsidR="000B380D" w:rsidRPr="000B380D" w14:paraId="5C3E3D7A" w14:textId="77777777" w:rsidTr="000B380D">
        <w:trPr>
          <w:trHeight w:val="997"/>
        </w:trPr>
        <w:tc>
          <w:tcPr>
            <w:tcW w:w="2160" w:type="dxa"/>
            <w:hideMark/>
          </w:tcPr>
          <w:p w14:paraId="2ECEA09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イノベーション・アカデミー構想</w:t>
            </w:r>
          </w:p>
        </w:tc>
        <w:tc>
          <w:tcPr>
            <w:tcW w:w="11282" w:type="dxa"/>
            <w:hideMark/>
          </w:tcPr>
          <w:p w14:paraId="47F4548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公立大学のすべてのキャンパスに「産学官共創リビングラボ」機能を持たせ、「全学ネットワーク型産学官共創イノベーションエコシステム」を構築することで、行政や企業等との一層の共創を図ることを通じて、都市課題の解決と大阪産業の競争力強化に貢献することを目指している。</w:t>
            </w:r>
          </w:p>
        </w:tc>
        <w:tc>
          <w:tcPr>
            <w:tcW w:w="1620" w:type="dxa"/>
            <w:hideMark/>
          </w:tcPr>
          <w:p w14:paraId="035B2F9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No.19</w:t>
            </w:r>
          </w:p>
        </w:tc>
      </w:tr>
      <w:tr w:rsidR="000B380D" w:rsidRPr="000B380D" w14:paraId="2FCD42D5" w14:textId="77777777" w:rsidTr="000B380D">
        <w:trPr>
          <w:trHeight w:val="1452"/>
        </w:trPr>
        <w:tc>
          <w:tcPr>
            <w:tcW w:w="2160" w:type="dxa"/>
            <w:hideMark/>
          </w:tcPr>
          <w:p w14:paraId="5AC947F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SD</w:t>
            </w:r>
          </w:p>
        </w:tc>
        <w:tc>
          <w:tcPr>
            <w:tcW w:w="11282" w:type="dxa"/>
            <w:hideMark/>
          </w:tcPr>
          <w:p w14:paraId="76D99B2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Staff Development の略。</w:t>
            </w:r>
            <w:r w:rsidRPr="000B380D">
              <w:rPr>
                <w:rFonts w:ascii="ＭＳ 明朝" w:eastAsia="ＭＳ 明朝" w:hAnsi="ＭＳ 明朝" w:hint="eastAsia"/>
              </w:rPr>
              <w:br/>
              <w:t>大学の管理運営や教育・研究等に関わる教職員に必要な知識及び技能を習得させ、並びにその能力及び資質を向上させるための研修の機会を設けるなどの取組み。全ての大学及び高等専門学校は、教育研究活動等の適切かつ効果的な運営を図るため、職員（事務職員だけでなく教員や技術職員を含む）が大学等の運営に必要な知識・技能を身に付け、能力・資質を向上させるための研修（SD）の機会を設けること等の必要な取組みを行う義務を負っている。</w:t>
            </w:r>
          </w:p>
        </w:tc>
        <w:tc>
          <w:tcPr>
            <w:tcW w:w="1620" w:type="dxa"/>
            <w:hideMark/>
          </w:tcPr>
          <w:p w14:paraId="15210BC5"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No.4、No.50</w:t>
            </w:r>
          </w:p>
        </w:tc>
      </w:tr>
      <w:tr w:rsidR="000B380D" w:rsidRPr="000B380D" w14:paraId="01C781C3" w14:textId="77777777" w:rsidTr="000B380D">
        <w:trPr>
          <w:trHeight w:val="907"/>
        </w:trPr>
        <w:tc>
          <w:tcPr>
            <w:tcW w:w="2160" w:type="dxa"/>
            <w:hideMark/>
          </w:tcPr>
          <w:p w14:paraId="7089BD0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FD</w:t>
            </w:r>
          </w:p>
        </w:tc>
        <w:tc>
          <w:tcPr>
            <w:tcW w:w="11282" w:type="dxa"/>
            <w:hideMark/>
          </w:tcPr>
          <w:p w14:paraId="6F263CC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Faculty Development の略。</w:t>
            </w:r>
            <w:r w:rsidRPr="000B380D">
              <w:rPr>
                <w:rFonts w:ascii="ＭＳ 明朝" w:eastAsia="ＭＳ 明朝" w:hAnsi="ＭＳ 明朝" w:hint="eastAsia"/>
              </w:rPr>
              <w:br/>
              <w:t>大学の授業の内容及び方法の改善を図るための組織的な研修及び研究。具体的な例としては、教員相互の授業参観の実施、授業方法についての研究会の開催、新任教員のための研修会の開催等を挙げることができる。</w:t>
            </w:r>
          </w:p>
        </w:tc>
        <w:tc>
          <w:tcPr>
            <w:tcW w:w="1620" w:type="dxa"/>
            <w:hideMark/>
          </w:tcPr>
          <w:p w14:paraId="28F60917"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No.4、No.29</w:t>
            </w:r>
          </w:p>
        </w:tc>
      </w:tr>
      <w:tr w:rsidR="000B380D" w:rsidRPr="000B380D" w14:paraId="7CF220CC" w14:textId="77777777" w:rsidTr="000B380D">
        <w:trPr>
          <w:trHeight w:val="1644"/>
        </w:trPr>
        <w:tc>
          <w:tcPr>
            <w:tcW w:w="2160" w:type="dxa"/>
            <w:hideMark/>
          </w:tcPr>
          <w:p w14:paraId="5DC9D77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大阪公立大学ボランティア・市民活動センター</w:t>
            </w:r>
          </w:p>
        </w:tc>
        <w:tc>
          <w:tcPr>
            <w:tcW w:w="11282" w:type="dxa"/>
            <w:hideMark/>
          </w:tcPr>
          <w:p w14:paraId="235C41A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ボランティア活動に取り組む学生を支援するために、大阪公立大学が設置する機関で、学生スタッフと専門のコーディネーターが学生の相談を受け付ける。</w:t>
            </w:r>
            <w:r w:rsidRPr="000B380D">
              <w:rPr>
                <w:rFonts w:ascii="ＭＳ 明朝" w:eastAsia="ＭＳ 明朝" w:hAnsi="ＭＳ 明朝" w:hint="eastAsia"/>
              </w:rPr>
              <w:br/>
              <w:t>基になる大阪府立大学のボランティア・市民活動センターは、2016年度から堺市産学公連携「大学における市民活動促進業務」を受託しており、大学、市民、市民活動団体、企業、地域金融機関、行政等の連携・協働による市民活動の促進と、様々な地域課題の解決と市民活動の活性化を行っている。</w:t>
            </w:r>
          </w:p>
        </w:tc>
        <w:tc>
          <w:tcPr>
            <w:tcW w:w="1620" w:type="dxa"/>
            <w:hideMark/>
          </w:tcPr>
          <w:p w14:paraId="254FAED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No.7</w:t>
            </w:r>
          </w:p>
        </w:tc>
      </w:tr>
      <w:tr w:rsidR="000B380D" w:rsidRPr="000B380D" w14:paraId="1D9BE08F" w14:textId="77777777" w:rsidTr="000B380D">
        <w:trPr>
          <w:trHeight w:val="567"/>
        </w:trPr>
        <w:tc>
          <w:tcPr>
            <w:tcW w:w="2160" w:type="dxa"/>
            <w:hideMark/>
          </w:tcPr>
          <w:p w14:paraId="6FE13DF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lastRenderedPageBreak/>
              <w:t>環境マネジメント</w:t>
            </w:r>
          </w:p>
        </w:tc>
        <w:tc>
          <w:tcPr>
            <w:tcW w:w="11282" w:type="dxa"/>
            <w:hideMark/>
          </w:tcPr>
          <w:p w14:paraId="2F1464A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組織や事業者が、その運営や経営の中で自主的に環境保全に関する取組を進めるにあたり、環境に関する方針や目標を自ら設定し、これらの達成に向けて取り組んでいくこと。</w:t>
            </w:r>
          </w:p>
        </w:tc>
        <w:tc>
          <w:tcPr>
            <w:tcW w:w="1620" w:type="dxa"/>
            <w:hideMark/>
          </w:tcPr>
          <w:p w14:paraId="3C65849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No.59</w:t>
            </w:r>
          </w:p>
        </w:tc>
      </w:tr>
      <w:tr w:rsidR="000B380D" w:rsidRPr="000B380D" w14:paraId="7EF86EE4" w14:textId="77777777" w:rsidTr="000B380D">
        <w:trPr>
          <w:trHeight w:val="1020"/>
        </w:trPr>
        <w:tc>
          <w:tcPr>
            <w:tcW w:w="2160" w:type="dxa"/>
            <w:hideMark/>
          </w:tcPr>
          <w:p w14:paraId="000289A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技術インキュベーション機能</w:t>
            </w:r>
          </w:p>
        </w:tc>
        <w:tc>
          <w:tcPr>
            <w:tcW w:w="11282" w:type="dxa"/>
            <w:hideMark/>
          </w:tcPr>
          <w:p w14:paraId="7C68360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産業の競争力強化に資するため、大阪産業局や大阪産業技術研究所をはじめ大阪に集積する産業支援機関との連携の下、積極的に企業ニーズを把握し、大学が有する技術シーズとのマッチングを図るなど技術移転を促進するとともに、大学発ベンチャーなど自らのシーズを活かしてスタートアップを図る取組を支援することを通じ、産学官連携を強力に推進することを目指している。</w:t>
            </w:r>
          </w:p>
        </w:tc>
        <w:tc>
          <w:tcPr>
            <w:tcW w:w="1620" w:type="dxa"/>
            <w:hideMark/>
          </w:tcPr>
          <w:p w14:paraId="44EE246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はじめに、No.19</w:t>
            </w:r>
          </w:p>
        </w:tc>
      </w:tr>
      <w:tr w:rsidR="000B380D" w:rsidRPr="000B380D" w14:paraId="331A32EF" w14:textId="77777777" w:rsidTr="000B380D">
        <w:trPr>
          <w:trHeight w:val="1080"/>
        </w:trPr>
        <w:tc>
          <w:tcPr>
            <w:tcW w:w="2160" w:type="dxa"/>
            <w:hideMark/>
          </w:tcPr>
          <w:p w14:paraId="1BC3265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クロスアポイントメント制度</w:t>
            </w:r>
          </w:p>
        </w:tc>
        <w:tc>
          <w:tcPr>
            <w:tcW w:w="11282" w:type="dxa"/>
            <w:hideMark/>
          </w:tcPr>
          <w:p w14:paraId="28A3188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研究者が大学、公的研究機関、民間企業のうち、二つ以上の組織と雇用契約を結び、一定の勤務割合の下で、それぞれの組織における役割分担や指揮命令系統に従いつつ、研究・開発および教育などの業務に従事することを可能にする制度。</w:t>
            </w:r>
          </w:p>
        </w:tc>
        <w:tc>
          <w:tcPr>
            <w:tcW w:w="1620" w:type="dxa"/>
            <w:hideMark/>
          </w:tcPr>
          <w:p w14:paraId="13F1822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No.48</w:t>
            </w:r>
          </w:p>
        </w:tc>
      </w:tr>
      <w:tr w:rsidR="000B380D" w:rsidRPr="000B380D" w14:paraId="6BA5D10F" w14:textId="77777777" w:rsidTr="000B380D">
        <w:trPr>
          <w:trHeight w:val="57"/>
        </w:trPr>
        <w:tc>
          <w:tcPr>
            <w:tcW w:w="2160" w:type="dxa"/>
            <w:hideMark/>
          </w:tcPr>
          <w:p w14:paraId="0F20D9D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COIL</w:t>
            </w:r>
          </w:p>
        </w:tc>
        <w:tc>
          <w:tcPr>
            <w:tcW w:w="11282" w:type="dxa"/>
            <w:hideMark/>
          </w:tcPr>
          <w:p w14:paraId="7A51A681"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Collaborative Online International Learningの略。オンラインを活用した国際的な双方向の教育手法。</w:t>
            </w:r>
          </w:p>
        </w:tc>
        <w:tc>
          <w:tcPr>
            <w:tcW w:w="1620" w:type="dxa"/>
            <w:hideMark/>
          </w:tcPr>
          <w:p w14:paraId="296D92C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No.20</w:t>
            </w:r>
          </w:p>
        </w:tc>
      </w:tr>
      <w:tr w:rsidR="000B380D" w:rsidRPr="000B380D" w14:paraId="6D4A3390" w14:textId="77777777" w:rsidTr="000B380D">
        <w:trPr>
          <w:trHeight w:val="794"/>
        </w:trPr>
        <w:tc>
          <w:tcPr>
            <w:tcW w:w="2160" w:type="dxa"/>
            <w:hideMark/>
          </w:tcPr>
          <w:p w14:paraId="53521FB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高専産学連携推進会</w:t>
            </w:r>
          </w:p>
        </w:tc>
        <w:tc>
          <w:tcPr>
            <w:tcW w:w="11282" w:type="dxa"/>
            <w:hideMark/>
          </w:tcPr>
          <w:p w14:paraId="10968AD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2019年度に高専で立ち上げられた、グローバルな産業技術の多様性に対応できる産業界の最新技術の高度化支援を目的とする会。高専を支援する企業で構成され、企業の協力の下で、地域技術支援などの社会貢献を一層進め、産学連携活動推進のための活動を行う。</w:t>
            </w:r>
          </w:p>
        </w:tc>
        <w:tc>
          <w:tcPr>
            <w:tcW w:w="1620" w:type="dxa"/>
            <w:hideMark/>
          </w:tcPr>
          <w:p w14:paraId="7A5A17A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No.32</w:t>
            </w:r>
          </w:p>
        </w:tc>
      </w:tr>
      <w:tr w:rsidR="000B380D" w:rsidRPr="000B380D" w14:paraId="4C19BECF" w14:textId="77777777" w:rsidTr="000B380D">
        <w:trPr>
          <w:trHeight w:val="737"/>
        </w:trPr>
        <w:tc>
          <w:tcPr>
            <w:tcW w:w="2160" w:type="dxa"/>
            <w:hideMark/>
          </w:tcPr>
          <w:p w14:paraId="52A909A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高大接続改革</w:t>
            </w:r>
          </w:p>
        </w:tc>
        <w:tc>
          <w:tcPr>
            <w:tcW w:w="11282" w:type="dxa"/>
            <w:hideMark/>
          </w:tcPr>
          <w:p w14:paraId="39E5477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義務教育段階から一貫した理念の下、「学力の3要素」（1．知識・技能、2．思考力・判断力・表現力、3．主体性を持って多様な人々と協働して学ぶ態度）を高校教育で確実に育成し、大学教育で更なる伸長を図るため、それをつなぐ大学入学者選抜においても、多面的・総合的に評価するという一体的な改革。</w:t>
            </w:r>
          </w:p>
        </w:tc>
        <w:tc>
          <w:tcPr>
            <w:tcW w:w="1620" w:type="dxa"/>
            <w:hideMark/>
          </w:tcPr>
          <w:p w14:paraId="2BF4096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No.11</w:t>
            </w:r>
          </w:p>
        </w:tc>
      </w:tr>
      <w:tr w:rsidR="000B380D" w:rsidRPr="000B380D" w14:paraId="69CF27B0" w14:textId="77777777" w:rsidTr="000B380D">
        <w:trPr>
          <w:trHeight w:val="340"/>
        </w:trPr>
        <w:tc>
          <w:tcPr>
            <w:tcW w:w="2160" w:type="dxa"/>
            <w:hideMark/>
          </w:tcPr>
          <w:p w14:paraId="12B9F7D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自己点検・評価</w:t>
            </w:r>
          </w:p>
        </w:tc>
        <w:tc>
          <w:tcPr>
            <w:tcW w:w="11282" w:type="dxa"/>
            <w:hideMark/>
          </w:tcPr>
          <w:p w14:paraId="036601D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が、自己の目的・目標に照らして教育研究等の状況について点検し、優れている点や改善すべき点等を評価して、その結果を公表すること。自己点検・評価は学校教育法においてすべての高等教育機関に義務づけられている。</w:t>
            </w:r>
          </w:p>
        </w:tc>
        <w:tc>
          <w:tcPr>
            <w:tcW w:w="1620" w:type="dxa"/>
            <w:hideMark/>
          </w:tcPr>
          <w:p w14:paraId="7B619647"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w:t>
            </w:r>
          </w:p>
        </w:tc>
      </w:tr>
      <w:tr w:rsidR="000B380D" w:rsidRPr="000B380D" w14:paraId="7B88E920" w14:textId="77777777" w:rsidTr="000B380D">
        <w:trPr>
          <w:trHeight w:val="1077"/>
        </w:trPr>
        <w:tc>
          <w:tcPr>
            <w:tcW w:w="2160" w:type="dxa"/>
            <w:hideMark/>
          </w:tcPr>
          <w:p w14:paraId="4B327B8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システム発想型学際科学リーダー養成学位プログラム</w:t>
            </w:r>
          </w:p>
        </w:tc>
        <w:tc>
          <w:tcPr>
            <w:tcW w:w="11282" w:type="dxa"/>
            <w:hideMark/>
          </w:tcPr>
          <w:p w14:paraId="6ABAD0A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システム思考をベースとし、”ことづくり発想で産業界を牽引する”ための産学連携教育プログラムとして、博士課程（前期2年、後期3年）5年一貫で、大阪公立大学で提供する教育プログラム。世界的業績を有する物質系・システム系の大学教員と、企業や研究機関による協力な指導・支援体制の下、研究室ローテーション、海外留学などを通して産業界を牽引するグローバル研究リーダーとしての素養を身につけるもの。</w:t>
            </w:r>
          </w:p>
        </w:tc>
        <w:tc>
          <w:tcPr>
            <w:tcW w:w="1620" w:type="dxa"/>
            <w:hideMark/>
          </w:tcPr>
          <w:p w14:paraId="1BE356E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No.2</w:t>
            </w:r>
          </w:p>
        </w:tc>
      </w:tr>
      <w:tr w:rsidR="000B380D" w:rsidRPr="000B380D" w14:paraId="658F9D64" w14:textId="77777777" w:rsidTr="000B380D">
        <w:trPr>
          <w:trHeight w:val="680"/>
        </w:trPr>
        <w:tc>
          <w:tcPr>
            <w:tcW w:w="2160" w:type="dxa"/>
            <w:hideMark/>
          </w:tcPr>
          <w:p w14:paraId="4E64665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初年次ゼミナール</w:t>
            </w:r>
          </w:p>
        </w:tc>
        <w:tc>
          <w:tcPr>
            <w:tcW w:w="11282" w:type="dxa"/>
            <w:hideMark/>
          </w:tcPr>
          <w:p w14:paraId="7CB6D8D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等教育での主体的な学びを大学入学直後に身に付けるため、1年次全学生の必修科目として開講するもの。様々な学域・学部に所属する学生が協同して能動的な学修を行う中で、大学での学びのための技法（アカデミックライティング等）と主体的に学ぶ姿勢を身に付ける。</w:t>
            </w:r>
          </w:p>
        </w:tc>
        <w:tc>
          <w:tcPr>
            <w:tcW w:w="1620" w:type="dxa"/>
            <w:hideMark/>
          </w:tcPr>
          <w:p w14:paraId="0DAA9E8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w:t>
            </w:r>
          </w:p>
        </w:tc>
      </w:tr>
      <w:tr w:rsidR="000B380D" w:rsidRPr="000B380D" w14:paraId="20C2B876" w14:textId="77777777" w:rsidTr="000B380D">
        <w:trPr>
          <w:trHeight w:val="794"/>
        </w:trPr>
        <w:tc>
          <w:tcPr>
            <w:tcW w:w="2160" w:type="dxa"/>
            <w:hideMark/>
          </w:tcPr>
          <w:p w14:paraId="5196000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lastRenderedPageBreak/>
              <w:t>数理・データサイエンス・AI教育</w:t>
            </w:r>
          </w:p>
        </w:tc>
        <w:tc>
          <w:tcPr>
            <w:tcW w:w="11282" w:type="dxa"/>
            <w:hideMark/>
          </w:tcPr>
          <w:p w14:paraId="028D2D8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Society5.0 の基盤となるデータサイエンスの基礎を身に付けるための科目のこと。</w:t>
            </w:r>
            <w:r w:rsidRPr="000B380D">
              <w:rPr>
                <w:rFonts w:ascii="ＭＳ 明朝" w:eastAsia="ＭＳ 明朝" w:hAnsi="ＭＳ 明朝" w:hint="eastAsia"/>
              </w:rPr>
              <w:br/>
              <w:t>そのような数理・データサイエンス・ＡＩに関する知識及び技術について、体系的な教育を行うものを文部科学大臣が認定及び選定して奨励する「数理・データサイエンス・ＡＩ教育プログラム認定制度」がある。</w:t>
            </w:r>
          </w:p>
        </w:tc>
        <w:tc>
          <w:tcPr>
            <w:tcW w:w="1620" w:type="dxa"/>
            <w:hideMark/>
          </w:tcPr>
          <w:p w14:paraId="7D181AA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No.1、No.27</w:t>
            </w:r>
          </w:p>
        </w:tc>
      </w:tr>
      <w:tr w:rsidR="000B380D" w:rsidRPr="000B380D" w14:paraId="6FFF786C" w14:textId="77777777" w:rsidTr="000B380D">
        <w:trPr>
          <w:trHeight w:val="510"/>
        </w:trPr>
        <w:tc>
          <w:tcPr>
            <w:tcW w:w="2160" w:type="dxa"/>
            <w:hideMark/>
          </w:tcPr>
          <w:p w14:paraId="692B37C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スマートユニバーシティ</w:t>
            </w:r>
          </w:p>
        </w:tc>
        <w:tc>
          <w:tcPr>
            <w:tcW w:w="11282" w:type="dxa"/>
            <w:hideMark/>
          </w:tcPr>
          <w:p w14:paraId="3A08580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阪公立大学においては、大学を社会の縮図と捉え、大学におけるセンシング、データ分析、AIを活用した業務効率化、大学サービスの向上（新しい住民サービスの先行導入を含む）を先行的に実施することと考えている。</w:t>
            </w:r>
          </w:p>
        </w:tc>
        <w:tc>
          <w:tcPr>
            <w:tcW w:w="1620" w:type="dxa"/>
            <w:noWrap/>
            <w:hideMark/>
          </w:tcPr>
          <w:p w14:paraId="6D2643A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No.47</w:t>
            </w:r>
          </w:p>
        </w:tc>
      </w:tr>
      <w:tr w:rsidR="000B380D" w:rsidRPr="000B380D" w14:paraId="62E246A9" w14:textId="77777777" w:rsidTr="000B380D">
        <w:trPr>
          <w:trHeight w:val="1621"/>
        </w:trPr>
        <w:tc>
          <w:tcPr>
            <w:tcW w:w="2160" w:type="dxa"/>
            <w:hideMark/>
          </w:tcPr>
          <w:p w14:paraId="36BBBE25"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ゼロカーボン</w:t>
            </w:r>
          </w:p>
        </w:tc>
        <w:tc>
          <w:tcPr>
            <w:tcW w:w="11282" w:type="dxa"/>
            <w:hideMark/>
          </w:tcPr>
          <w:p w14:paraId="5B7A757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温室効果ガスの排出を全体としてゼロにすること。大学が、国、自治体、企業、国内外の大学、研究機関等との連携を</w:t>
            </w:r>
          </w:p>
          <w:p w14:paraId="03F9693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通じ、取組や成果の水平展開、革新的なイノベーションを生み出す研究開発や成果の社会実装の推進、ネットワーク・発信力の強化などを行う場として、「カーボンニュートラル達成に貢献する大学等コアリション」が立ち上がっており、大阪公立大学も参加している。</w:t>
            </w:r>
          </w:p>
          <w:p w14:paraId="1247318A"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※上記コアリションにおいて、「ゼロカーボン」と「カーボンニュートラル」は同じ意味で使用されている</w:t>
            </w:r>
          </w:p>
        </w:tc>
        <w:tc>
          <w:tcPr>
            <w:tcW w:w="1620" w:type="dxa"/>
            <w:hideMark/>
          </w:tcPr>
          <w:p w14:paraId="50442F95"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No.59</w:t>
            </w:r>
          </w:p>
        </w:tc>
      </w:tr>
      <w:tr w:rsidR="000B380D" w:rsidRPr="000B380D" w14:paraId="35EF1136" w14:textId="77777777" w:rsidTr="000B380D">
        <w:trPr>
          <w:trHeight w:val="375"/>
        </w:trPr>
        <w:tc>
          <w:tcPr>
            <w:tcW w:w="2160" w:type="dxa"/>
            <w:hideMark/>
          </w:tcPr>
          <w:p w14:paraId="1DBDB1F0"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SOGI</w:t>
            </w:r>
          </w:p>
        </w:tc>
        <w:tc>
          <w:tcPr>
            <w:tcW w:w="11282" w:type="dxa"/>
            <w:noWrap/>
            <w:hideMark/>
          </w:tcPr>
          <w:p w14:paraId="1160174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Sexual Orientation &amp; Gender Identityの略称。「性的指向と性自認」と訳される。</w:t>
            </w:r>
          </w:p>
        </w:tc>
        <w:tc>
          <w:tcPr>
            <w:tcW w:w="1620" w:type="dxa"/>
            <w:noWrap/>
            <w:hideMark/>
          </w:tcPr>
          <w:p w14:paraId="2E6A0FD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No.10</w:t>
            </w:r>
          </w:p>
        </w:tc>
      </w:tr>
      <w:tr w:rsidR="000B380D" w:rsidRPr="000B380D" w14:paraId="78D74376" w14:textId="77777777" w:rsidTr="000B380D">
        <w:trPr>
          <w:trHeight w:val="3061"/>
        </w:trPr>
        <w:tc>
          <w:tcPr>
            <w:tcW w:w="2160" w:type="dxa"/>
            <w:hideMark/>
          </w:tcPr>
          <w:p w14:paraId="2F74177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TF、TA、SA</w:t>
            </w:r>
          </w:p>
        </w:tc>
        <w:tc>
          <w:tcPr>
            <w:tcW w:w="11282" w:type="dxa"/>
          </w:tcPr>
          <w:p w14:paraId="13B5EC35" w14:textId="4152FF27" w:rsidR="000B380D" w:rsidRPr="000B380D" w:rsidRDefault="007A2F3A" w:rsidP="005E1310">
            <w:pPr>
              <w:rPr>
                <w:rFonts w:ascii="ＭＳ 明朝" w:eastAsia="ＭＳ 明朝" w:hAnsi="ＭＳ 明朝"/>
              </w:rPr>
            </w:pPr>
            <w:r>
              <w:rPr>
                <w:rFonts w:ascii="ＭＳ 明朝" w:eastAsia="ＭＳ 明朝" w:hAnsi="ＭＳ 明朝" w:hint="eastAsia"/>
              </w:rPr>
              <w:t>優秀な学生</w:t>
            </w:r>
            <w:r w:rsidR="000B380D" w:rsidRPr="000B380D">
              <w:rPr>
                <w:rFonts w:ascii="ＭＳ 明朝" w:eastAsia="ＭＳ 明朝" w:hAnsi="ＭＳ 明朝" w:hint="eastAsia"/>
              </w:rPr>
              <w:t>を教育的配慮の下に教育に関する補助業務を行わせることにより、大学教育の充実及び学生自身の教育・研究等に関する資質の向上を図ることを目的とする制度。</w:t>
            </w:r>
          </w:p>
          <w:p w14:paraId="45335FE8" w14:textId="77777777" w:rsidR="000B380D" w:rsidRDefault="000B380D" w:rsidP="005E1310">
            <w:pPr>
              <w:pStyle w:val="a4"/>
              <w:numPr>
                <w:ilvl w:val="0"/>
                <w:numId w:val="8"/>
              </w:numPr>
              <w:ind w:leftChars="0"/>
              <w:rPr>
                <w:rFonts w:ascii="ＭＳ 明朝" w:eastAsia="ＭＳ 明朝" w:hAnsi="ＭＳ 明朝"/>
              </w:rPr>
            </w:pPr>
            <w:r w:rsidRPr="000B380D">
              <w:rPr>
                <w:rFonts w:ascii="ＭＳ 明朝" w:eastAsia="ＭＳ 明朝" w:hAnsi="ＭＳ 明朝"/>
              </w:rPr>
              <w:t>TF：Teaching Fellow（ティーチング・フェロー）の略。</w:t>
            </w:r>
          </w:p>
          <w:p w14:paraId="5EF31907" w14:textId="77777777" w:rsidR="000B380D" w:rsidRPr="000B380D" w:rsidRDefault="000B380D" w:rsidP="005E1310">
            <w:pPr>
              <w:pStyle w:val="a4"/>
              <w:ind w:leftChars="0" w:left="360"/>
              <w:rPr>
                <w:rFonts w:ascii="ＭＳ 明朝" w:eastAsia="ＭＳ 明朝" w:hAnsi="ＭＳ 明朝"/>
              </w:rPr>
            </w:pPr>
            <w:r w:rsidRPr="000B380D">
              <w:rPr>
                <w:rFonts w:ascii="ＭＳ 明朝" w:eastAsia="ＭＳ 明朝" w:hAnsi="ＭＳ 明朝"/>
              </w:rPr>
              <w:t>TA（下記） の経験を活かし、教育的配慮の下に教育に関する補助業務の内容を自ら計画の上、授業等の進行を管理しながら展開して実施する。</w:t>
            </w:r>
          </w:p>
          <w:p w14:paraId="2F1401E7" w14:textId="77777777" w:rsidR="000B380D" w:rsidRDefault="000B380D" w:rsidP="005E1310">
            <w:pPr>
              <w:pStyle w:val="a4"/>
              <w:numPr>
                <w:ilvl w:val="0"/>
                <w:numId w:val="8"/>
              </w:numPr>
              <w:ind w:leftChars="0"/>
              <w:rPr>
                <w:rFonts w:ascii="ＭＳ 明朝" w:eastAsia="ＭＳ 明朝" w:hAnsi="ＭＳ 明朝"/>
              </w:rPr>
            </w:pPr>
            <w:r w:rsidRPr="000B380D">
              <w:rPr>
                <w:rFonts w:ascii="ＭＳ 明朝" w:eastAsia="ＭＳ 明朝" w:hAnsi="ＭＳ 明朝"/>
              </w:rPr>
              <w:t>TA：Teaching Assistant(ティーチング・アシスタント)の略。</w:t>
            </w:r>
          </w:p>
          <w:p w14:paraId="2D99C506" w14:textId="77777777" w:rsidR="000B380D" w:rsidRPr="000B380D" w:rsidRDefault="000B380D" w:rsidP="005E1310">
            <w:pPr>
              <w:pStyle w:val="a4"/>
              <w:ind w:leftChars="0" w:left="360"/>
              <w:rPr>
                <w:rFonts w:ascii="ＭＳ 明朝" w:eastAsia="ＭＳ 明朝" w:hAnsi="ＭＳ 明朝"/>
              </w:rPr>
            </w:pPr>
            <w:r w:rsidRPr="000B380D">
              <w:rPr>
                <w:rFonts w:ascii="ＭＳ 明朝" w:eastAsia="ＭＳ 明朝" w:hAnsi="ＭＳ 明朝" w:hint="eastAsia"/>
              </w:rPr>
              <w:t>教育的配慮の下に教育に関する補助業務を行う。</w:t>
            </w:r>
          </w:p>
          <w:p w14:paraId="7F28434E" w14:textId="77777777" w:rsidR="000B380D" w:rsidRDefault="000B380D" w:rsidP="005E1310">
            <w:pPr>
              <w:pStyle w:val="a4"/>
              <w:numPr>
                <w:ilvl w:val="0"/>
                <w:numId w:val="8"/>
              </w:numPr>
              <w:ind w:leftChars="0"/>
              <w:rPr>
                <w:rFonts w:ascii="ＭＳ 明朝" w:eastAsia="ＭＳ 明朝" w:hAnsi="ＭＳ 明朝"/>
              </w:rPr>
            </w:pPr>
            <w:proofErr w:type="spellStart"/>
            <w:r w:rsidRPr="000B380D">
              <w:rPr>
                <w:rFonts w:ascii="ＭＳ 明朝" w:eastAsia="ＭＳ 明朝" w:hAnsi="ＭＳ 明朝"/>
              </w:rPr>
              <w:t>SA:Student</w:t>
            </w:r>
            <w:proofErr w:type="spellEnd"/>
            <w:r w:rsidRPr="000B380D">
              <w:rPr>
                <w:rFonts w:ascii="ＭＳ 明朝" w:eastAsia="ＭＳ 明朝" w:hAnsi="ＭＳ 明朝"/>
              </w:rPr>
              <w:t xml:space="preserve"> Assistant（スチューデント・アシスタント）の略。</w:t>
            </w:r>
          </w:p>
          <w:p w14:paraId="46AAF628" w14:textId="77777777" w:rsidR="000B380D" w:rsidRPr="000B380D" w:rsidRDefault="000B380D" w:rsidP="005E1310">
            <w:pPr>
              <w:pStyle w:val="a4"/>
              <w:ind w:leftChars="0" w:left="360"/>
              <w:rPr>
                <w:rFonts w:ascii="ＭＳ 明朝" w:eastAsia="ＭＳ 明朝" w:hAnsi="ＭＳ 明朝"/>
              </w:rPr>
            </w:pPr>
            <w:r w:rsidRPr="000B380D">
              <w:rPr>
                <w:rFonts w:ascii="ＭＳ 明朝" w:eastAsia="ＭＳ 明朝" w:hAnsi="ＭＳ 明朝" w:hint="eastAsia"/>
              </w:rPr>
              <w:t>教育的配慮の下に教育に関する軽微な補助業務を行う。</w:t>
            </w:r>
          </w:p>
        </w:tc>
        <w:tc>
          <w:tcPr>
            <w:tcW w:w="1620" w:type="dxa"/>
            <w:hideMark/>
          </w:tcPr>
          <w:p w14:paraId="27B228E3"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w:t>
            </w:r>
          </w:p>
        </w:tc>
      </w:tr>
      <w:tr w:rsidR="000B380D" w:rsidRPr="000B380D" w14:paraId="173A4D8F" w14:textId="77777777" w:rsidTr="000B380D">
        <w:trPr>
          <w:trHeight w:val="1020"/>
        </w:trPr>
        <w:tc>
          <w:tcPr>
            <w:tcW w:w="2160" w:type="dxa"/>
            <w:hideMark/>
          </w:tcPr>
          <w:p w14:paraId="7543EC2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DX</w:t>
            </w:r>
          </w:p>
        </w:tc>
        <w:tc>
          <w:tcPr>
            <w:tcW w:w="11282" w:type="dxa"/>
            <w:hideMark/>
          </w:tcPr>
          <w:p w14:paraId="49C71F0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Digital Transformationの略。</w:t>
            </w:r>
            <w:r w:rsidRPr="000B380D">
              <w:rPr>
                <w:rFonts w:ascii="ＭＳ 明朝" w:eastAsia="ＭＳ 明朝" w:hAnsi="ＭＳ 明朝" w:hint="eastAsia"/>
              </w:rPr>
              <w:br/>
              <w:t>企業がビジネス環境の激しい変化に対応し、データとデジタル技術を活用して、顧客や社会のニーズを基に、製品やサービス、ビジネスモデルを変革するとともに、業務そのものや、組織、プロセス、企業文化・風土を変革し、競争上の優位性を確立すること。</w:t>
            </w:r>
          </w:p>
        </w:tc>
        <w:tc>
          <w:tcPr>
            <w:tcW w:w="1620" w:type="dxa"/>
            <w:hideMark/>
          </w:tcPr>
          <w:p w14:paraId="76FE5CC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No.47</w:t>
            </w:r>
          </w:p>
        </w:tc>
      </w:tr>
      <w:tr w:rsidR="000B380D" w:rsidRPr="000B380D" w14:paraId="31AF868D" w14:textId="77777777" w:rsidTr="000B380D">
        <w:trPr>
          <w:trHeight w:val="850"/>
        </w:trPr>
        <w:tc>
          <w:tcPr>
            <w:tcW w:w="2160" w:type="dxa"/>
            <w:hideMark/>
          </w:tcPr>
          <w:p w14:paraId="32BE25D1"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lastRenderedPageBreak/>
              <w:t>都市シンクタンク機能</w:t>
            </w:r>
          </w:p>
        </w:tc>
        <w:tc>
          <w:tcPr>
            <w:tcW w:w="11282" w:type="dxa"/>
            <w:hideMark/>
          </w:tcPr>
          <w:p w14:paraId="43BD859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高度化・複雑化する大阪の多様な都市課題に対応し、大阪府・大阪市との連携の下、行政の政策ニーズと大学がもつ研究シーズとのマッチングを強化することを通じ、これまでの研究で培われた高度な知見に基づく解決策の提示やパブリックデータの分析などのデータマネジメントにより、都市課題の解決、引いては大阪の公益に資することを目指している。</w:t>
            </w:r>
          </w:p>
        </w:tc>
        <w:tc>
          <w:tcPr>
            <w:tcW w:w="1620" w:type="dxa"/>
            <w:hideMark/>
          </w:tcPr>
          <w:p w14:paraId="58BBA4D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はじめに、No.19</w:t>
            </w:r>
          </w:p>
        </w:tc>
      </w:tr>
      <w:tr w:rsidR="000B380D" w:rsidRPr="000B380D" w14:paraId="6A7EA7A8" w14:textId="77777777" w:rsidTr="000B380D">
        <w:trPr>
          <w:trHeight w:val="1757"/>
        </w:trPr>
        <w:tc>
          <w:tcPr>
            <w:tcW w:w="2160" w:type="dxa"/>
            <w:hideMark/>
          </w:tcPr>
          <w:p w14:paraId="35C99CC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内部質保証</w:t>
            </w:r>
          </w:p>
        </w:tc>
        <w:tc>
          <w:tcPr>
            <w:tcW w:w="11282" w:type="dxa"/>
            <w:hideMark/>
          </w:tcPr>
          <w:p w14:paraId="129031B2"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が、自らの責任で自学の諸活動について点検・評価を行い、その結果を基に改革・改善に努め、それによってその質を自ら保証すること。教育の内部質保証とは、大学等の教育研究活動の質や学生の学習成果の水準等を自ら継続的に保証することをいう。それぞれの教育課程の編成・実施に責任をもつ組織が、当該課程における教育研究への取組状況や、学生が身に付けるべき能力や課程における学習成果等を分析・評価して改善に活かすとともに、大学等が各教育課程におけるこうした取組みを把握し、総体として改革・改善の仕組みが機能していること、及びそれによって、教育研究の質が確保されていることを保証する責任を有する。</w:t>
            </w:r>
          </w:p>
        </w:tc>
        <w:tc>
          <w:tcPr>
            <w:tcW w:w="1620" w:type="dxa"/>
            <w:hideMark/>
          </w:tcPr>
          <w:p w14:paraId="40CF445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No.3</w:t>
            </w:r>
          </w:p>
        </w:tc>
      </w:tr>
      <w:tr w:rsidR="000B380D" w:rsidRPr="000B380D" w14:paraId="009C3455" w14:textId="77777777" w:rsidTr="000B380D">
        <w:trPr>
          <w:trHeight w:val="510"/>
        </w:trPr>
        <w:tc>
          <w:tcPr>
            <w:tcW w:w="2160" w:type="dxa"/>
            <w:hideMark/>
          </w:tcPr>
          <w:p w14:paraId="17F2CC3F"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認証評価</w:t>
            </w:r>
          </w:p>
        </w:tc>
        <w:tc>
          <w:tcPr>
            <w:tcW w:w="11282" w:type="dxa"/>
            <w:hideMark/>
          </w:tcPr>
          <w:p w14:paraId="58925C29"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大学等がその教育研究などの状況について、定期的に、文部科学省の認証を受けた第三者評価機関（大学評価・学位授与機構、大学基準協会等）から評価を受ける制度。</w:t>
            </w:r>
          </w:p>
        </w:tc>
        <w:tc>
          <w:tcPr>
            <w:tcW w:w="1620" w:type="dxa"/>
            <w:hideMark/>
          </w:tcPr>
          <w:p w14:paraId="01E6717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No.49</w:t>
            </w:r>
          </w:p>
        </w:tc>
      </w:tr>
      <w:tr w:rsidR="000B380D" w:rsidRPr="000B380D" w14:paraId="479DE24F" w14:textId="77777777" w:rsidTr="000B380D">
        <w:trPr>
          <w:trHeight w:val="567"/>
        </w:trPr>
        <w:tc>
          <w:tcPr>
            <w:tcW w:w="2160" w:type="dxa"/>
            <w:hideMark/>
          </w:tcPr>
          <w:p w14:paraId="039060A6"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副専攻</w:t>
            </w:r>
          </w:p>
        </w:tc>
        <w:tc>
          <w:tcPr>
            <w:tcW w:w="11282" w:type="dxa"/>
            <w:hideMark/>
          </w:tcPr>
          <w:p w14:paraId="54D87A8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各学部・ 学科の主専攻で学んだ専門的な知識やスキルを広く活用しつつ、より幅広い教養を身に付けていくことを希望する学生のための教育プログラムであり、大阪公立大学においては、開学時に8つの副専攻を設置予定。</w:t>
            </w:r>
          </w:p>
        </w:tc>
        <w:tc>
          <w:tcPr>
            <w:tcW w:w="1620" w:type="dxa"/>
            <w:hideMark/>
          </w:tcPr>
          <w:p w14:paraId="0FE10C34"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No.1、No.20</w:t>
            </w:r>
          </w:p>
        </w:tc>
      </w:tr>
      <w:tr w:rsidR="000B380D" w:rsidRPr="000B380D" w14:paraId="2468948E" w14:textId="77777777" w:rsidTr="000B380D">
        <w:trPr>
          <w:trHeight w:val="510"/>
        </w:trPr>
        <w:tc>
          <w:tcPr>
            <w:tcW w:w="2160" w:type="dxa"/>
            <w:hideMark/>
          </w:tcPr>
          <w:p w14:paraId="0EFFCC1D"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BCP（事業継続計画）</w:t>
            </w:r>
          </w:p>
        </w:tc>
        <w:tc>
          <w:tcPr>
            <w:tcW w:w="11282" w:type="dxa"/>
            <w:hideMark/>
          </w:tcPr>
          <w:p w14:paraId="06463F1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Business Continuity Planの略。</w:t>
            </w:r>
            <w:r w:rsidRPr="000B380D">
              <w:rPr>
                <w:rFonts w:ascii="ＭＳ 明朝" w:eastAsia="ＭＳ 明朝" w:hAnsi="ＭＳ 明朝" w:hint="eastAsia"/>
              </w:rPr>
              <w:br/>
              <w:t>災害などの緊急時に、企業や自治体が業務を続けたり、中断しても早期に復旧するための事前計画。</w:t>
            </w:r>
          </w:p>
        </w:tc>
        <w:tc>
          <w:tcPr>
            <w:tcW w:w="1620" w:type="dxa"/>
            <w:hideMark/>
          </w:tcPr>
          <w:p w14:paraId="4FEF24EE"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No.61</w:t>
            </w:r>
          </w:p>
        </w:tc>
      </w:tr>
      <w:tr w:rsidR="000B380D" w:rsidRPr="000B380D" w14:paraId="0BB5901D" w14:textId="77777777" w:rsidTr="000B380D">
        <w:trPr>
          <w:trHeight w:val="907"/>
        </w:trPr>
        <w:tc>
          <w:tcPr>
            <w:tcW w:w="2160" w:type="dxa"/>
            <w:hideMark/>
          </w:tcPr>
          <w:p w14:paraId="5B17DA1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URA</w:t>
            </w:r>
          </w:p>
        </w:tc>
        <w:tc>
          <w:tcPr>
            <w:tcW w:w="11282" w:type="dxa"/>
            <w:hideMark/>
          </w:tcPr>
          <w:p w14:paraId="3D174BCC"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University Research Administratorの略。</w:t>
            </w:r>
            <w:r w:rsidRPr="000B380D">
              <w:rPr>
                <w:rFonts w:ascii="ＭＳ 明朝" w:eastAsia="ＭＳ 明朝" w:hAnsi="ＭＳ 明朝" w:hint="eastAsia"/>
              </w:rPr>
              <w:br/>
              <w:t>研究資金の獲得・管理・報告及び複数の研究機関・研究者・民間企業等が参画する研究プロジェクト等のマネジメントの充実・強化を図り、本学の円滑な研究活動の推進に寄与することを目的とする。</w:t>
            </w:r>
          </w:p>
        </w:tc>
        <w:tc>
          <w:tcPr>
            <w:tcW w:w="1620" w:type="dxa"/>
            <w:hideMark/>
          </w:tcPr>
          <w:p w14:paraId="41C3B2F7"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No.18</w:t>
            </w:r>
          </w:p>
        </w:tc>
      </w:tr>
      <w:tr w:rsidR="000B380D" w:rsidRPr="000B380D" w14:paraId="17F3A2F6" w14:textId="77777777" w:rsidTr="000B380D">
        <w:trPr>
          <w:trHeight w:val="624"/>
        </w:trPr>
        <w:tc>
          <w:tcPr>
            <w:tcW w:w="2160" w:type="dxa"/>
            <w:hideMark/>
          </w:tcPr>
          <w:p w14:paraId="4F666EF8"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履修証明制度</w:t>
            </w:r>
          </w:p>
        </w:tc>
        <w:tc>
          <w:tcPr>
            <w:tcW w:w="11282" w:type="dxa"/>
            <w:hideMark/>
          </w:tcPr>
          <w:p w14:paraId="27BBF00B"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大学等の積極的な社会貢献を促進するため、学生を対象とする学位プログラムの他に、社会人等の学生以外の者を対象とした、120時間以上の一定のまとまりのある学習プログラム（履修証明プログラム）を開設し、その修了者に対して法に基づく履修証明書（Certificate）を交付できるという制度。</w:t>
            </w:r>
          </w:p>
        </w:tc>
        <w:tc>
          <w:tcPr>
            <w:tcW w:w="1620" w:type="dxa"/>
            <w:hideMark/>
          </w:tcPr>
          <w:p w14:paraId="6FF4A891" w14:textId="77777777" w:rsidR="000B380D" w:rsidRPr="000B380D" w:rsidRDefault="000B380D" w:rsidP="005E1310">
            <w:pPr>
              <w:rPr>
                <w:rFonts w:ascii="ＭＳ 明朝" w:eastAsia="ＭＳ 明朝" w:hAnsi="ＭＳ 明朝"/>
              </w:rPr>
            </w:pPr>
            <w:r w:rsidRPr="000B380D">
              <w:rPr>
                <w:rFonts w:ascii="ＭＳ 明朝" w:eastAsia="ＭＳ 明朝" w:hAnsi="ＭＳ 明朝" w:hint="eastAsia"/>
              </w:rPr>
              <w:t>No.17</w:t>
            </w:r>
          </w:p>
        </w:tc>
      </w:tr>
    </w:tbl>
    <w:p w14:paraId="78BF7A93" w14:textId="77777777" w:rsidR="000B380D" w:rsidRPr="000B380D" w:rsidRDefault="000B380D" w:rsidP="000B380D">
      <w:pPr>
        <w:rPr>
          <w:rFonts w:ascii="ＭＳ 明朝" w:eastAsia="ＭＳ 明朝" w:hAnsi="ＭＳ 明朝"/>
        </w:rPr>
      </w:pPr>
    </w:p>
    <w:sectPr w:rsidR="000B380D" w:rsidRPr="000B380D" w:rsidSect="005E07E7">
      <w:footerReference w:type="default" r:id="rId7"/>
      <w:pgSz w:w="16838" w:h="11906" w:orient="landscape"/>
      <w:pgMar w:top="1134" w:right="851" w:bottom="851" w:left="85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72F9" w14:textId="77777777" w:rsidR="00574A05" w:rsidRDefault="00574A05" w:rsidP="00D50486">
      <w:r>
        <w:separator/>
      </w:r>
    </w:p>
  </w:endnote>
  <w:endnote w:type="continuationSeparator" w:id="0">
    <w:p w14:paraId="069B7BFC" w14:textId="77777777" w:rsidR="00574A05" w:rsidRDefault="00574A05" w:rsidP="00D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8214"/>
      <w:docPartObj>
        <w:docPartGallery w:val="Page Numbers (Bottom of Page)"/>
        <w:docPartUnique/>
      </w:docPartObj>
    </w:sdtPr>
    <w:sdtEndPr/>
    <w:sdtContent>
      <w:p w14:paraId="39570132" w14:textId="6BF72675" w:rsidR="005E07E7" w:rsidRDefault="005E07E7">
        <w:pPr>
          <w:pStyle w:val="a7"/>
          <w:jc w:val="center"/>
        </w:pPr>
        <w:r>
          <w:fldChar w:fldCharType="begin"/>
        </w:r>
        <w:r>
          <w:instrText>PAGE   \* MERGEFORMAT</w:instrText>
        </w:r>
        <w:r>
          <w:fldChar w:fldCharType="separate"/>
        </w:r>
        <w:r w:rsidR="007F199F" w:rsidRPr="007F199F">
          <w:rPr>
            <w:noProof/>
            <w:lang w:val="ja-JP"/>
          </w:rPr>
          <w:t>1</w:t>
        </w:r>
        <w:r>
          <w:fldChar w:fldCharType="end"/>
        </w:r>
      </w:p>
    </w:sdtContent>
  </w:sdt>
  <w:p w14:paraId="59D5B9A6" w14:textId="77777777" w:rsidR="00574A05" w:rsidRDefault="00574A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DC67" w14:textId="77777777" w:rsidR="00574A05" w:rsidRDefault="00574A05" w:rsidP="00D50486">
      <w:r>
        <w:separator/>
      </w:r>
    </w:p>
  </w:footnote>
  <w:footnote w:type="continuationSeparator" w:id="0">
    <w:p w14:paraId="13BB6154" w14:textId="77777777" w:rsidR="00574A05" w:rsidRDefault="00574A05" w:rsidP="00D5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C6F"/>
    <w:multiLevelType w:val="hybridMultilevel"/>
    <w:tmpl w:val="EECC9F4A"/>
    <w:lvl w:ilvl="0" w:tplc="71983FFC">
      <w:numFmt w:val="bullet"/>
      <w:lvlText w:val="・"/>
      <w:lvlJc w:val="left"/>
      <w:pPr>
        <w:ind w:left="360" w:hanging="360"/>
      </w:pPr>
      <w:rPr>
        <w:rFonts w:ascii="ＭＳ 明朝" w:eastAsia="ＭＳ 明朝" w:hAnsi="ＭＳ 明朝" w:cstheme="minorBidi" w:hint="eastAsia"/>
        <w:lang w:val="en-US"/>
      </w:rPr>
    </w:lvl>
    <w:lvl w:ilvl="1" w:tplc="1C1CD456">
      <w:start w:val="2"/>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17944"/>
    <w:multiLevelType w:val="hybridMultilevel"/>
    <w:tmpl w:val="BA2251E6"/>
    <w:lvl w:ilvl="0" w:tplc="B2F044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DB6A8B"/>
    <w:multiLevelType w:val="hybridMultilevel"/>
    <w:tmpl w:val="941A4F94"/>
    <w:lvl w:ilvl="0" w:tplc="5E80DF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EC04EA"/>
    <w:multiLevelType w:val="hybridMultilevel"/>
    <w:tmpl w:val="A2C4D476"/>
    <w:lvl w:ilvl="0" w:tplc="85824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B22481"/>
    <w:multiLevelType w:val="hybridMultilevel"/>
    <w:tmpl w:val="B1800B00"/>
    <w:lvl w:ilvl="0" w:tplc="D3D4E4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FD23D3"/>
    <w:multiLevelType w:val="hybridMultilevel"/>
    <w:tmpl w:val="0FEE6B74"/>
    <w:lvl w:ilvl="0" w:tplc="878EBF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D44D83"/>
    <w:multiLevelType w:val="hybridMultilevel"/>
    <w:tmpl w:val="41F4BC78"/>
    <w:lvl w:ilvl="0" w:tplc="DFA2E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B62580"/>
    <w:multiLevelType w:val="hybridMultilevel"/>
    <w:tmpl w:val="8B6C1396"/>
    <w:lvl w:ilvl="0" w:tplc="F6CC9786">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2B"/>
    <w:rsid w:val="0000201C"/>
    <w:rsid w:val="000020BD"/>
    <w:rsid w:val="00004E19"/>
    <w:rsid w:val="00016918"/>
    <w:rsid w:val="000215F4"/>
    <w:rsid w:val="00023FED"/>
    <w:rsid w:val="0003395F"/>
    <w:rsid w:val="00033D8B"/>
    <w:rsid w:val="00040173"/>
    <w:rsid w:val="00040427"/>
    <w:rsid w:val="000410D3"/>
    <w:rsid w:val="00041BFB"/>
    <w:rsid w:val="00046E49"/>
    <w:rsid w:val="000555D6"/>
    <w:rsid w:val="00074E55"/>
    <w:rsid w:val="00086D4A"/>
    <w:rsid w:val="00087110"/>
    <w:rsid w:val="00093D77"/>
    <w:rsid w:val="000B380D"/>
    <w:rsid w:val="000C0D93"/>
    <w:rsid w:val="000C3F30"/>
    <w:rsid w:val="000C477E"/>
    <w:rsid w:val="000D1554"/>
    <w:rsid w:val="000D365E"/>
    <w:rsid w:val="000D3D2C"/>
    <w:rsid w:val="000D6D60"/>
    <w:rsid w:val="001072A4"/>
    <w:rsid w:val="00116696"/>
    <w:rsid w:val="00117966"/>
    <w:rsid w:val="00124A8D"/>
    <w:rsid w:val="00130589"/>
    <w:rsid w:val="001313D3"/>
    <w:rsid w:val="00131B92"/>
    <w:rsid w:val="00132B58"/>
    <w:rsid w:val="00144D56"/>
    <w:rsid w:val="00172EB0"/>
    <w:rsid w:val="00180A92"/>
    <w:rsid w:val="0018320E"/>
    <w:rsid w:val="00195E64"/>
    <w:rsid w:val="001A1DB2"/>
    <w:rsid w:val="001B2A61"/>
    <w:rsid w:val="001B3C03"/>
    <w:rsid w:val="001C086F"/>
    <w:rsid w:val="001C6B04"/>
    <w:rsid w:val="001D0AE1"/>
    <w:rsid w:val="001E1976"/>
    <w:rsid w:val="001E2AB9"/>
    <w:rsid w:val="001E7009"/>
    <w:rsid w:val="001F5547"/>
    <w:rsid w:val="0020147B"/>
    <w:rsid w:val="0021129E"/>
    <w:rsid w:val="00214E2B"/>
    <w:rsid w:val="00217AA5"/>
    <w:rsid w:val="00221383"/>
    <w:rsid w:val="002234C0"/>
    <w:rsid w:val="00223EB4"/>
    <w:rsid w:val="00232085"/>
    <w:rsid w:val="002409FA"/>
    <w:rsid w:val="00251D2B"/>
    <w:rsid w:val="00251FBC"/>
    <w:rsid w:val="00252D57"/>
    <w:rsid w:val="00255FEB"/>
    <w:rsid w:val="00260E0F"/>
    <w:rsid w:val="00266A6C"/>
    <w:rsid w:val="00272B3A"/>
    <w:rsid w:val="00276836"/>
    <w:rsid w:val="002863B9"/>
    <w:rsid w:val="00293A28"/>
    <w:rsid w:val="002A432A"/>
    <w:rsid w:val="002B4635"/>
    <w:rsid w:val="002B4EBD"/>
    <w:rsid w:val="002C245A"/>
    <w:rsid w:val="002D3FB9"/>
    <w:rsid w:val="002D7666"/>
    <w:rsid w:val="002E5886"/>
    <w:rsid w:val="002E5D28"/>
    <w:rsid w:val="002F033D"/>
    <w:rsid w:val="002F1C4A"/>
    <w:rsid w:val="00302011"/>
    <w:rsid w:val="0031181E"/>
    <w:rsid w:val="0032473A"/>
    <w:rsid w:val="00330D0C"/>
    <w:rsid w:val="003402D3"/>
    <w:rsid w:val="00340438"/>
    <w:rsid w:val="00341EB3"/>
    <w:rsid w:val="00347435"/>
    <w:rsid w:val="00361C50"/>
    <w:rsid w:val="00381194"/>
    <w:rsid w:val="0038622B"/>
    <w:rsid w:val="003875D7"/>
    <w:rsid w:val="003929D5"/>
    <w:rsid w:val="00395B5C"/>
    <w:rsid w:val="003973CB"/>
    <w:rsid w:val="0039740E"/>
    <w:rsid w:val="00397D95"/>
    <w:rsid w:val="003A5609"/>
    <w:rsid w:val="003B4592"/>
    <w:rsid w:val="003B6C45"/>
    <w:rsid w:val="003C6B67"/>
    <w:rsid w:val="003C7E44"/>
    <w:rsid w:val="003E0685"/>
    <w:rsid w:val="003E5B78"/>
    <w:rsid w:val="003F1F20"/>
    <w:rsid w:val="003F3E5D"/>
    <w:rsid w:val="0040451A"/>
    <w:rsid w:val="00410F76"/>
    <w:rsid w:val="00411A3B"/>
    <w:rsid w:val="004132A9"/>
    <w:rsid w:val="004143D4"/>
    <w:rsid w:val="00415D19"/>
    <w:rsid w:val="004169DF"/>
    <w:rsid w:val="0042530B"/>
    <w:rsid w:val="00426461"/>
    <w:rsid w:val="004438C8"/>
    <w:rsid w:val="00447575"/>
    <w:rsid w:val="00452E71"/>
    <w:rsid w:val="0046682C"/>
    <w:rsid w:val="004676B2"/>
    <w:rsid w:val="00470BD8"/>
    <w:rsid w:val="00474442"/>
    <w:rsid w:val="004872D6"/>
    <w:rsid w:val="00487CC6"/>
    <w:rsid w:val="00492195"/>
    <w:rsid w:val="00492E18"/>
    <w:rsid w:val="00495E01"/>
    <w:rsid w:val="004A1E29"/>
    <w:rsid w:val="004A72D1"/>
    <w:rsid w:val="004B24DD"/>
    <w:rsid w:val="004B6CD1"/>
    <w:rsid w:val="004C0F1B"/>
    <w:rsid w:val="004C1FAD"/>
    <w:rsid w:val="004E168B"/>
    <w:rsid w:val="004E5060"/>
    <w:rsid w:val="004F7E13"/>
    <w:rsid w:val="005122F1"/>
    <w:rsid w:val="00515508"/>
    <w:rsid w:val="00523281"/>
    <w:rsid w:val="00530194"/>
    <w:rsid w:val="00535EE5"/>
    <w:rsid w:val="00537E71"/>
    <w:rsid w:val="00541DD2"/>
    <w:rsid w:val="00544630"/>
    <w:rsid w:val="005602C8"/>
    <w:rsid w:val="0056067F"/>
    <w:rsid w:val="00564340"/>
    <w:rsid w:val="00574A05"/>
    <w:rsid w:val="00586020"/>
    <w:rsid w:val="005976C8"/>
    <w:rsid w:val="005A3DB9"/>
    <w:rsid w:val="005A72CF"/>
    <w:rsid w:val="005C3260"/>
    <w:rsid w:val="005D16D1"/>
    <w:rsid w:val="005D2BF4"/>
    <w:rsid w:val="005D3988"/>
    <w:rsid w:val="005E07E7"/>
    <w:rsid w:val="005E1310"/>
    <w:rsid w:val="005E1A6E"/>
    <w:rsid w:val="005E629C"/>
    <w:rsid w:val="005F7821"/>
    <w:rsid w:val="00603A37"/>
    <w:rsid w:val="006152EB"/>
    <w:rsid w:val="00624398"/>
    <w:rsid w:val="00634CB9"/>
    <w:rsid w:val="00636F45"/>
    <w:rsid w:val="00637943"/>
    <w:rsid w:val="006440C6"/>
    <w:rsid w:val="006462BF"/>
    <w:rsid w:val="00650793"/>
    <w:rsid w:val="00654DDA"/>
    <w:rsid w:val="00660787"/>
    <w:rsid w:val="00672B9C"/>
    <w:rsid w:val="00675959"/>
    <w:rsid w:val="00681FE8"/>
    <w:rsid w:val="00687E9C"/>
    <w:rsid w:val="0069283C"/>
    <w:rsid w:val="00693A0B"/>
    <w:rsid w:val="006A7791"/>
    <w:rsid w:val="006B1D3C"/>
    <w:rsid w:val="006B748D"/>
    <w:rsid w:val="006C57C4"/>
    <w:rsid w:val="006C6780"/>
    <w:rsid w:val="006C6B36"/>
    <w:rsid w:val="006D0171"/>
    <w:rsid w:val="006D156A"/>
    <w:rsid w:val="006E1440"/>
    <w:rsid w:val="006E3AAB"/>
    <w:rsid w:val="006E49BD"/>
    <w:rsid w:val="006F41A7"/>
    <w:rsid w:val="00702165"/>
    <w:rsid w:val="0071046D"/>
    <w:rsid w:val="007107BB"/>
    <w:rsid w:val="00710818"/>
    <w:rsid w:val="007356D2"/>
    <w:rsid w:val="007477EC"/>
    <w:rsid w:val="00757D58"/>
    <w:rsid w:val="00781103"/>
    <w:rsid w:val="00784619"/>
    <w:rsid w:val="00785433"/>
    <w:rsid w:val="00786C9E"/>
    <w:rsid w:val="00786E0B"/>
    <w:rsid w:val="00795C57"/>
    <w:rsid w:val="00797AB0"/>
    <w:rsid w:val="007A2F3A"/>
    <w:rsid w:val="007A72B9"/>
    <w:rsid w:val="007C3065"/>
    <w:rsid w:val="007C40BA"/>
    <w:rsid w:val="007C4B2B"/>
    <w:rsid w:val="007E14CD"/>
    <w:rsid w:val="007F157D"/>
    <w:rsid w:val="007F199F"/>
    <w:rsid w:val="007F53DF"/>
    <w:rsid w:val="00800B83"/>
    <w:rsid w:val="00802623"/>
    <w:rsid w:val="00802D8F"/>
    <w:rsid w:val="0080401F"/>
    <w:rsid w:val="0081727D"/>
    <w:rsid w:val="00824692"/>
    <w:rsid w:val="00830056"/>
    <w:rsid w:val="00832DC2"/>
    <w:rsid w:val="00834392"/>
    <w:rsid w:val="00844909"/>
    <w:rsid w:val="00844959"/>
    <w:rsid w:val="00846A1D"/>
    <w:rsid w:val="0085061B"/>
    <w:rsid w:val="00882B0F"/>
    <w:rsid w:val="008A1B28"/>
    <w:rsid w:val="008A4106"/>
    <w:rsid w:val="008A416C"/>
    <w:rsid w:val="008A41E2"/>
    <w:rsid w:val="008A5678"/>
    <w:rsid w:val="008A77A2"/>
    <w:rsid w:val="008B18E6"/>
    <w:rsid w:val="008B6E90"/>
    <w:rsid w:val="008C04F2"/>
    <w:rsid w:val="008C103A"/>
    <w:rsid w:val="008D6C70"/>
    <w:rsid w:val="008F45FD"/>
    <w:rsid w:val="009010C8"/>
    <w:rsid w:val="009050BA"/>
    <w:rsid w:val="009124C0"/>
    <w:rsid w:val="00914DAA"/>
    <w:rsid w:val="00914E7E"/>
    <w:rsid w:val="0092752C"/>
    <w:rsid w:val="00936F72"/>
    <w:rsid w:val="00956842"/>
    <w:rsid w:val="00962C2B"/>
    <w:rsid w:val="00965224"/>
    <w:rsid w:val="00965553"/>
    <w:rsid w:val="00967033"/>
    <w:rsid w:val="00967C47"/>
    <w:rsid w:val="00975D4C"/>
    <w:rsid w:val="0098593E"/>
    <w:rsid w:val="00986CD5"/>
    <w:rsid w:val="009903E6"/>
    <w:rsid w:val="009928EF"/>
    <w:rsid w:val="00992E31"/>
    <w:rsid w:val="009A5B24"/>
    <w:rsid w:val="009A6B24"/>
    <w:rsid w:val="009A7037"/>
    <w:rsid w:val="009B7CED"/>
    <w:rsid w:val="009C2ACB"/>
    <w:rsid w:val="009D1590"/>
    <w:rsid w:val="009D56DC"/>
    <w:rsid w:val="009D6D22"/>
    <w:rsid w:val="009E58F4"/>
    <w:rsid w:val="00A00056"/>
    <w:rsid w:val="00A07D69"/>
    <w:rsid w:val="00A101D5"/>
    <w:rsid w:val="00A122B6"/>
    <w:rsid w:val="00A14608"/>
    <w:rsid w:val="00A27654"/>
    <w:rsid w:val="00A323DD"/>
    <w:rsid w:val="00A4112D"/>
    <w:rsid w:val="00A477F6"/>
    <w:rsid w:val="00A60F26"/>
    <w:rsid w:val="00A61FE5"/>
    <w:rsid w:val="00A64D95"/>
    <w:rsid w:val="00A872F0"/>
    <w:rsid w:val="00A87BBF"/>
    <w:rsid w:val="00A87EB0"/>
    <w:rsid w:val="00A926CA"/>
    <w:rsid w:val="00A9357D"/>
    <w:rsid w:val="00A956BD"/>
    <w:rsid w:val="00AA1DDB"/>
    <w:rsid w:val="00AA349C"/>
    <w:rsid w:val="00AA4ECC"/>
    <w:rsid w:val="00AB30A8"/>
    <w:rsid w:val="00AC352A"/>
    <w:rsid w:val="00AD6AC1"/>
    <w:rsid w:val="00AD7DC7"/>
    <w:rsid w:val="00AE133F"/>
    <w:rsid w:val="00AE5A54"/>
    <w:rsid w:val="00AF0805"/>
    <w:rsid w:val="00AF3258"/>
    <w:rsid w:val="00B051B9"/>
    <w:rsid w:val="00B06C0A"/>
    <w:rsid w:val="00B118B3"/>
    <w:rsid w:val="00B1607F"/>
    <w:rsid w:val="00B50EE3"/>
    <w:rsid w:val="00B56C7D"/>
    <w:rsid w:val="00B629FE"/>
    <w:rsid w:val="00B62CB4"/>
    <w:rsid w:val="00B66CFA"/>
    <w:rsid w:val="00B7561E"/>
    <w:rsid w:val="00B81B2B"/>
    <w:rsid w:val="00B96D87"/>
    <w:rsid w:val="00BA1683"/>
    <w:rsid w:val="00BA432B"/>
    <w:rsid w:val="00BB5590"/>
    <w:rsid w:val="00BC2B62"/>
    <w:rsid w:val="00BC6608"/>
    <w:rsid w:val="00BD4679"/>
    <w:rsid w:val="00BD7476"/>
    <w:rsid w:val="00BF72C6"/>
    <w:rsid w:val="00C07749"/>
    <w:rsid w:val="00C07780"/>
    <w:rsid w:val="00C12CA5"/>
    <w:rsid w:val="00C136E3"/>
    <w:rsid w:val="00C13813"/>
    <w:rsid w:val="00C26AA0"/>
    <w:rsid w:val="00C32218"/>
    <w:rsid w:val="00C3346A"/>
    <w:rsid w:val="00C41915"/>
    <w:rsid w:val="00C42B8A"/>
    <w:rsid w:val="00C446FD"/>
    <w:rsid w:val="00C53D4B"/>
    <w:rsid w:val="00C62DD9"/>
    <w:rsid w:val="00C8719E"/>
    <w:rsid w:val="00C92700"/>
    <w:rsid w:val="00C9594D"/>
    <w:rsid w:val="00CB0E01"/>
    <w:rsid w:val="00CB0E31"/>
    <w:rsid w:val="00CB13DF"/>
    <w:rsid w:val="00CB18FD"/>
    <w:rsid w:val="00CC2801"/>
    <w:rsid w:val="00CC5F1F"/>
    <w:rsid w:val="00CC6C36"/>
    <w:rsid w:val="00CD1684"/>
    <w:rsid w:val="00CD26F4"/>
    <w:rsid w:val="00CD513B"/>
    <w:rsid w:val="00CD53F1"/>
    <w:rsid w:val="00CE0591"/>
    <w:rsid w:val="00CE35B7"/>
    <w:rsid w:val="00D00C96"/>
    <w:rsid w:val="00D225D2"/>
    <w:rsid w:val="00D25B2E"/>
    <w:rsid w:val="00D262A5"/>
    <w:rsid w:val="00D4218C"/>
    <w:rsid w:val="00D42769"/>
    <w:rsid w:val="00D50486"/>
    <w:rsid w:val="00D6442F"/>
    <w:rsid w:val="00D64E6E"/>
    <w:rsid w:val="00D66F09"/>
    <w:rsid w:val="00D712A9"/>
    <w:rsid w:val="00D71432"/>
    <w:rsid w:val="00D859EF"/>
    <w:rsid w:val="00D9510E"/>
    <w:rsid w:val="00D96F03"/>
    <w:rsid w:val="00DA4438"/>
    <w:rsid w:val="00DA4FD5"/>
    <w:rsid w:val="00DA7BAB"/>
    <w:rsid w:val="00DB3572"/>
    <w:rsid w:val="00DC43EC"/>
    <w:rsid w:val="00DC5E2F"/>
    <w:rsid w:val="00DF2D96"/>
    <w:rsid w:val="00DF7240"/>
    <w:rsid w:val="00E04830"/>
    <w:rsid w:val="00E132CE"/>
    <w:rsid w:val="00E13512"/>
    <w:rsid w:val="00E27EA8"/>
    <w:rsid w:val="00E3045E"/>
    <w:rsid w:val="00E44514"/>
    <w:rsid w:val="00E56EA5"/>
    <w:rsid w:val="00E65CD6"/>
    <w:rsid w:val="00E767B9"/>
    <w:rsid w:val="00E8189C"/>
    <w:rsid w:val="00E877B8"/>
    <w:rsid w:val="00EA7FE8"/>
    <w:rsid w:val="00EC07FA"/>
    <w:rsid w:val="00EC2C1B"/>
    <w:rsid w:val="00EC6674"/>
    <w:rsid w:val="00EC74D2"/>
    <w:rsid w:val="00ED41BE"/>
    <w:rsid w:val="00EE6EB2"/>
    <w:rsid w:val="00EE7A38"/>
    <w:rsid w:val="00EF19E3"/>
    <w:rsid w:val="00EF4A30"/>
    <w:rsid w:val="00EF5889"/>
    <w:rsid w:val="00EF6BB8"/>
    <w:rsid w:val="00F01B21"/>
    <w:rsid w:val="00F02263"/>
    <w:rsid w:val="00F032BC"/>
    <w:rsid w:val="00F10DAF"/>
    <w:rsid w:val="00F13356"/>
    <w:rsid w:val="00F141D0"/>
    <w:rsid w:val="00F164BC"/>
    <w:rsid w:val="00F24FBC"/>
    <w:rsid w:val="00F24FED"/>
    <w:rsid w:val="00F30422"/>
    <w:rsid w:val="00F3158F"/>
    <w:rsid w:val="00F325B6"/>
    <w:rsid w:val="00F42DBE"/>
    <w:rsid w:val="00F46251"/>
    <w:rsid w:val="00F562AD"/>
    <w:rsid w:val="00F654B6"/>
    <w:rsid w:val="00F66BD0"/>
    <w:rsid w:val="00F676B2"/>
    <w:rsid w:val="00F7154D"/>
    <w:rsid w:val="00F71E15"/>
    <w:rsid w:val="00F76DD4"/>
    <w:rsid w:val="00F80A04"/>
    <w:rsid w:val="00F81C1D"/>
    <w:rsid w:val="00F8722E"/>
    <w:rsid w:val="00F906CC"/>
    <w:rsid w:val="00F97FFC"/>
    <w:rsid w:val="00FA02A9"/>
    <w:rsid w:val="00FB2BCE"/>
    <w:rsid w:val="00FB6748"/>
    <w:rsid w:val="00FE1DC5"/>
    <w:rsid w:val="00FE5DE3"/>
    <w:rsid w:val="00FE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C8C5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DB9"/>
    <w:pPr>
      <w:ind w:leftChars="400" w:left="840"/>
    </w:pPr>
  </w:style>
  <w:style w:type="paragraph" w:styleId="a5">
    <w:name w:val="header"/>
    <w:basedOn w:val="a"/>
    <w:link w:val="a6"/>
    <w:uiPriority w:val="99"/>
    <w:unhideWhenUsed/>
    <w:rsid w:val="00D50486"/>
    <w:pPr>
      <w:tabs>
        <w:tab w:val="center" w:pos="4252"/>
        <w:tab w:val="right" w:pos="8504"/>
      </w:tabs>
      <w:snapToGrid w:val="0"/>
    </w:pPr>
  </w:style>
  <w:style w:type="character" w:customStyle="1" w:styleId="a6">
    <w:name w:val="ヘッダー (文字)"/>
    <w:basedOn w:val="a0"/>
    <w:link w:val="a5"/>
    <w:uiPriority w:val="99"/>
    <w:rsid w:val="00D50486"/>
  </w:style>
  <w:style w:type="paragraph" w:styleId="a7">
    <w:name w:val="footer"/>
    <w:basedOn w:val="a"/>
    <w:link w:val="a8"/>
    <w:uiPriority w:val="99"/>
    <w:unhideWhenUsed/>
    <w:rsid w:val="00D50486"/>
    <w:pPr>
      <w:tabs>
        <w:tab w:val="center" w:pos="4252"/>
        <w:tab w:val="right" w:pos="8504"/>
      </w:tabs>
      <w:snapToGrid w:val="0"/>
    </w:pPr>
  </w:style>
  <w:style w:type="character" w:customStyle="1" w:styleId="a8">
    <w:name w:val="フッター (文字)"/>
    <w:basedOn w:val="a0"/>
    <w:link w:val="a7"/>
    <w:uiPriority w:val="99"/>
    <w:rsid w:val="00D50486"/>
  </w:style>
  <w:style w:type="paragraph" w:styleId="a9">
    <w:name w:val="Balloon Text"/>
    <w:basedOn w:val="a"/>
    <w:link w:val="aa"/>
    <w:uiPriority w:val="99"/>
    <w:semiHidden/>
    <w:unhideWhenUsed/>
    <w:rsid w:val="00F97F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975">
      <w:bodyDiv w:val="1"/>
      <w:marLeft w:val="0"/>
      <w:marRight w:val="0"/>
      <w:marTop w:val="0"/>
      <w:marBottom w:val="0"/>
      <w:divBdr>
        <w:top w:val="none" w:sz="0" w:space="0" w:color="auto"/>
        <w:left w:val="none" w:sz="0" w:space="0" w:color="auto"/>
        <w:bottom w:val="none" w:sz="0" w:space="0" w:color="auto"/>
        <w:right w:val="none" w:sz="0" w:space="0" w:color="auto"/>
      </w:divBdr>
    </w:div>
    <w:div w:id="311642779">
      <w:bodyDiv w:val="1"/>
      <w:marLeft w:val="0"/>
      <w:marRight w:val="0"/>
      <w:marTop w:val="0"/>
      <w:marBottom w:val="0"/>
      <w:divBdr>
        <w:top w:val="none" w:sz="0" w:space="0" w:color="auto"/>
        <w:left w:val="none" w:sz="0" w:space="0" w:color="auto"/>
        <w:bottom w:val="none" w:sz="0" w:space="0" w:color="auto"/>
        <w:right w:val="none" w:sz="0" w:space="0" w:color="auto"/>
      </w:divBdr>
    </w:div>
    <w:div w:id="556479778">
      <w:bodyDiv w:val="1"/>
      <w:marLeft w:val="0"/>
      <w:marRight w:val="0"/>
      <w:marTop w:val="0"/>
      <w:marBottom w:val="0"/>
      <w:divBdr>
        <w:top w:val="none" w:sz="0" w:space="0" w:color="auto"/>
        <w:left w:val="none" w:sz="0" w:space="0" w:color="auto"/>
        <w:bottom w:val="none" w:sz="0" w:space="0" w:color="auto"/>
        <w:right w:val="none" w:sz="0" w:space="0" w:color="auto"/>
      </w:divBdr>
    </w:div>
    <w:div w:id="675958497">
      <w:bodyDiv w:val="1"/>
      <w:marLeft w:val="0"/>
      <w:marRight w:val="0"/>
      <w:marTop w:val="0"/>
      <w:marBottom w:val="0"/>
      <w:divBdr>
        <w:top w:val="none" w:sz="0" w:space="0" w:color="auto"/>
        <w:left w:val="none" w:sz="0" w:space="0" w:color="auto"/>
        <w:bottom w:val="none" w:sz="0" w:space="0" w:color="auto"/>
        <w:right w:val="none" w:sz="0" w:space="0" w:color="auto"/>
      </w:divBdr>
    </w:div>
    <w:div w:id="919484353">
      <w:bodyDiv w:val="1"/>
      <w:marLeft w:val="0"/>
      <w:marRight w:val="0"/>
      <w:marTop w:val="0"/>
      <w:marBottom w:val="0"/>
      <w:divBdr>
        <w:top w:val="none" w:sz="0" w:space="0" w:color="auto"/>
        <w:left w:val="none" w:sz="0" w:space="0" w:color="auto"/>
        <w:bottom w:val="none" w:sz="0" w:space="0" w:color="auto"/>
        <w:right w:val="none" w:sz="0" w:space="0" w:color="auto"/>
      </w:divBdr>
    </w:div>
    <w:div w:id="1312641130">
      <w:bodyDiv w:val="1"/>
      <w:marLeft w:val="0"/>
      <w:marRight w:val="0"/>
      <w:marTop w:val="0"/>
      <w:marBottom w:val="0"/>
      <w:divBdr>
        <w:top w:val="none" w:sz="0" w:space="0" w:color="auto"/>
        <w:left w:val="none" w:sz="0" w:space="0" w:color="auto"/>
        <w:bottom w:val="none" w:sz="0" w:space="0" w:color="auto"/>
        <w:right w:val="none" w:sz="0" w:space="0" w:color="auto"/>
      </w:divBdr>
    </w:div>
    <w:div w:id="1532768582">
      <w:bodyDiv w:val="1"/>
      <w:marLeft w:val="0"/>
      <w:marRight w:val="0"/>
      <w:marTop w:val="0"/>
      <w:marBottom w:val="0"/>
      <w:divBdr>
        <w:top w:val="none" w:sz="0" w:space="0" w:color="auto"/>
        <w:left w:val="none" w:sz="0" w:space="0" w:color="auto"/>
        <w:bottom w:val="none" w:sz="0" w:space="0" w:color="auto"/>
        <w:right w:val="none" w:sz="0" w:space="0" w:color="auto"/>
      </w:divBdr>
    </w:div>
    <w:div w:id="1577474846">
      <w:bodyDiv w:val="1"/>
      <w:marLeft w:val="0"/>
      <w:marRight w:val="0"/>
      <w:marTop w:val="0"/>
      <w:marBottom w:val="0"/>
      <w:divBdr>
        <w:top w:val="none" w:sz="0" w:space="0" w:color="auto"/>
        <w:left w:val="none" w:sz="0" w:space="0" w:color="auto"/>
        <w:bottom w:val="none" w:sz="0" w:space="0" w:color="auto"/>
        <w:right w:val="none" w:sz="0" w:space="0" w:color="auto"/>
      </w:divBdr>
    </w:div>
    <w:div w:id="1608542770">
      <w:bodyDiv w:val="1"/>
      <w:marLeft w:val="0"/>
      <w:marRight w:val="0"/>
      <w:marTop w:val="0"/>
      <w:marBottom w:val="0"/>
      <w:divBdr>
        <w:top w:val="none" w:sz="0" w:space="0" w:color="auto"/>
        <w:left w:val="none" w:sz="0" w:space="0" w:color="auto"/>
        <w:bottom w:val="none" w:sz="0" w:space="0" w:color="auto"/>
        <w:right w:val="none" w:sz="0" w:space="0" w:color="auto"/>
      </w:divBdr>
    </w:div>
    <w:div w:id="1947031568">
      <w:bodyDiv w:val="1"/>
      <w:marLeft w:val="0"/>
      <w:marRight w:val="0"/>
      <w:marTop w:val="0"/>
      <w:marBottom w:val="0"/>
      <w:divBdr>
        <w:top w:val="none" w:sz="0" w:space="0" w:color="auto"/>
        <w:left w:val="none" w:sz="0" w:space="0" w:color="auto"/>
        <w:bottom w:val="none" w:sz="0" w:space="0" w:color="auto"/>
        <w:right w:val="none" w:sz="0" w:space="0" w:color="auto"/>
      </w:divBdr>
    </w:div>
    <w:div w:id="1967420101">
      <w:bodyDiv w:val="1"/>
      <w:marLeft w:val="0"/>
      <w:marRight w:val="0"/>
      <w:marTop w:val="0"/>
      <w:marBottom w:val="0"/>
      <w:divBdr>
        <w:top w:val="none" w:sz="0" w:space="0" w:color="auto"/>
        <w:left w:val="none" w:sz="0" w:space="0" w:color="auto"/>
        <w:bottom w:val="none" w:sz="0" w:space="0" w:color="auto"/>
        <w:right w:val="none" w:sz="0" w:space="0" w:color="auto"/>
      </w:divBdr>
    </w:div>
    <w:div w:id="1969236698">
      <w:bodyDiv w:val="1"/>
      <w:marLeft w:val="0"/>
      <w:marRight w:val="0"/>
      <w:marTop w:val="0"/>
      <w:marBottom w:val="0"/>
      <w:divBdr>
        <w:top w:val="none" w:sz="0" w:space="0" w:color="auto"/>
        <w:left w:val="none" w:sz="0" w:space="0" w:color="auto"/>
        <w:bottom w:val="none" w:sz="0" w:space="0" w:color="auto"/>
        <w:right w:val="none" w:sz="0" w:space="0" w:color="auto"/>
      </w:divBdr>
    </w:div>
    <w:div w:id="2017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2022-01-31T08:37:00Z</dcterms:created>
  <dcterms:modified xsi:type="dcterms:W3CDTF">2022-01-31T08:37:00Z</dcterms:modified>
</cp:coreProperties>
</file>