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35" w:rsidRPr="00F91E33" w:rsidRDefault="005837AC" w:rsidP="00B955FE">
      <w:pPr>
        <w:autoSpaceDE w:val="0"/>
        <w:autoSpaceDN w:val="0"/>
        <w:spacing w:line="276" w:lineRule="auto"/>
        <w:jc w:val="center"/>
        <w:rPr>
          <w:sz w:val="22"/>
        </w:rPr>
      </w:pPr>
      <w:r>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4728846</wp:posOffset>
                </wp:positionH>
                <wp:positionV relativeFrom="paragraph">
                  <wp:posOffset>-481330</wp:posOffset>
                </wp:positionV>
                <wp:extent cx="10668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680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837AC" w:rsidRPr="005837AC" w:rsidRDefault="005837AC" w:rsidP="005837AC">
                            <w:pPr>
                              <w:jc w:val="center"/>
                              <w:rPr>
                                <w:rFonts w:ascii="ＭＳ ゴシック" w:eastAsia="ＭＳ ゴシック" w:hAnsi="ＭＳ ゴシック"/>
                                <w:sz w:val="22"/>
                              </w:rPr>
                            </w:pPr>
                            <w:r w:rsidRPr="005837AC">
                              <w:rPr>
                                <w:rFonts w:ascii="ＭＳ ゴシック" w:eastAsia="ＭＳ ゴシック" w:hAnsi="ＭＳ ゴシック" w:hint="eastAsia"/>
                                <w:sz w:val="22"/>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2.35pt;margin-top:-37.9pt;width:84pt;height: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XnigIAAD4FAAAOAAAAZHJzL2Uyb0RvYy54bWysVM1uEzEQviPxDpbvdDfpDyXqpopaFSFV&#10;bUWLena8drPC9hjbyW54D/oAcOaMOPA4VOItGHt/GpWIA+LiHe988/+Nj44brchKOF+BKehoJ6dE&#10;GA5lZe4K+u7m7MUhJT4wUzIFRhR0LTw9nj5/dlTbiRjDAlQpHEEnxk9qW9BFCHaSZZ4vhGZ+B6ww&#10;qJTgNAt4dXdZ6ViN3rXKxnl+kNXgSuuAC+/x72mrpNPkX0rBw6WUXgSiCoq5hXS6dM7jmU2P2OTO&#10;MbuoeJcG+4csNKsMBh1cnbLAyNJVf7jSFXfgQYYdDjoDKSsuUg1YzSh/Us31glmRasHmeDu0yf8/&#10;t/xideVIVeLsKDFM44gevn55uP/+88fn7Nenb61ERrFRtfUTxF/bK9fdPIqx6kY6Hb9YD2lSc9dD&#10;c0UTCMefo/zg4DDHGXDU7Y53D/dT97NHa+t8eC1AkygU1OHwUk/Z6twHjIjQHhKDKRNPA2eVUq02&#10;/slilm1eSQprJVr0WyGxUMxknLwmiokT5ciKITnK96lGjKEMIqOJRMeD0WibkQq9UYeNZiLRbjDM&#10;txk+RhvQKSKYMBjqyoD7u7Fs8X3Vba2x7NDMmzTVcT+4OZRrnLSDdgW85WcVtvmc+XDFHHIeJ4N7&#10;HC7xkArqgkInUbIA93Hb/4hHKqKWkhp3qKD+w5I5QYl6Y5Ckr0Z7e3Hp0mVv/+UYL25TM9/UmKU+&#10;AZwEEhGzS2LEB9WL0oG+xXWfxaioYoZj7ILy4PrLSWh3Gx8MLmazBMNFsyycm2vLo/PY50ijm+aW&#10;OdtxLSBLL6DfNzZ5QrkWGy0NzJYBZJX4GDvd9rWbAC5pomn3oMRXYPOeUI/P3vQ3AAAA//8DAFBL&#10;AwQUAAYACAAAACEAzi47mt4AAAALAQAADwAAAGRycy9kb3ducmV2LnhtbEyPTU7DMBCF90jcwRok&#10;dq2TKJAS4lQI1AVSpYrCAZx4SCLicbDdNNyeYUWX8+bT+6m2ix3FjD4MjhSk6wQEUuvMQJ2Cj/fd&#10;agMiRE1Gj45QwQ8G2NbXV5UujTvTG87H2Ak2oVBqBX2MUyllaHu0OqzdhMS/T+etjnz6Thqvz2xu&#10;R5klyb20eiBO6PWEzz22X8eTVXAw32nxMu38bJvXeb+37cHboNTtzfL0CCLiEv9h+KvP1aHmTo07&#10;kQliVFDkecGoglVxxxuYeEgzVhpWsnwDsq7k5Yb6FwAA//8DAFBLAQItABQABgAIAAAAIQC2gziS&#10;/gAAAOEBAAATAAAAAAAAAAAAAAAAAAAAAABbQ29udGVudF9UeXBlc10ueG1sUEsBAi0AFAAGAAgA&#10;AAAhADj9If/WAAAAlAEAAAsAAAAAAAAAAAAAAAAALwEAAF9yZWxzLy5yZWxzUEsBAi0AFAAGAAgA&#10;AAAhAJsIpeeKAgAAPgUAAA4AAAAAAAAAAAAAAAAALgIAAGRycy9lMm9Eb2MueG1sUEsBAi0AFAAG&#10;AAgAAAAhAM4uO5reAAAACwEAAA8AAAAAAAAAAAAAAAAA5AQAAGRycy9kb3ducmV2LnhtbFBLBQYA&#10;AAAABAAEAPMAAADvBQAAAAA=&#10;" fillcolor="white [3201]" stroked="f" strokeweight="2pt">
                <v:textbox>
                  <w:txbxContent>
                    <w:p w:rsidR="005837AC" w:rsidRPr="005837AC" w:rsidRDefault="005837AC" w:rsidP="005837AC">
                      <w:pPr>
                        <w:jc w:val="center"/>
                        <w:rPr>
                          <w:rFonts w:ascii="ＭＳ ゴシック" w:eastAsia="ＭＳ ゴシック" w:hAnsi="ＭＳ ゴシック"/>
                          <w:sz w:val="22"/>
                        </w:rPr>
                      </w:pPr>
                      <w:r w:rsidRPr="005837AC">
                        <w:rPr>
                          <w:rFonts w:ascii="ＭＳ ゴシック" w:eastAsia="ＭＳ ゴシック" w:hAnsi="ＭＳ ゴシック" w:hint="eastAsia"/>
                          <w:sz w:val="22"/>
                        </w:rPr>
                        <w:t>参考資料２</w:t>
                      </w:r>
                    </w:p>
                  </w:txbxContent>
                </v:textbox>
              </v:rect>
            </w:pict>
          </mc:Fallback>
        </mc:AlternateContent>
      </w:r>
      <w:r w:rsidR="00952B35" w:rsidRPr="00F91E33">
        <w:rPr>
          <w:rFonts w:hint="eastAsia"/>
          <w:sz w:val="22"/>
        </w:rPr>
        <w:t>公立大学法人大阪府立</w:t>
      </w:r>
      <w:bookmarkStart w:id="0" w:name="_GoBack"/>
      <w:bookmarkEnd w:id="0"/>
      <w:r w:rsidR="00952B35" w:rsidRPr="00F91E33">
        <w:rPr>
          <w:rFonts w:hint="eastAsia"/>
          <w:sz w:val="22"/>
        </w:rPr>
        <w:t>大学及び公立大学法人大阪市立大学の</w:t>
      </w:r>
    </w:p>
    <w:p w:rsidR="00952B35" w:rsidRPr="00F91E33" w:rsidRDefault="00952B35" w:rsidP="00B955FE">
      <w:pPr>
        <w:autoSpaceDE w:val="0"/>
        <w:autoSpaceDN w:val="0"/>
        <w:spacing w:line="276" w:lineRule="auto"/>
        <w:jc w:val="center"/>
        <w:rPr>
          <w:sz w:val="22"/>
        </w:rPr>
      </w:pPr>
      <w:r w:rsidRPr="00F91E33">
        <w:rPr>
          <w:rFonts w:hint="eastAsia"/>
          <w:sz w:val="22"/>
        </w:rPr>
        <w:t>第三期中期目標期間に係る業務実績評価について（案）</w:t>
      </w:r>
    </w:p>
    <w:p w:rsidR="00952B35" w:rsidRDefault="00952B35" w:rsidP="00B955FE">
      <w:pPr>
        <w:autoSpaceDE w:val="0"/>
        <w:autoSpaceDN w:val="0"/>
        <w:spacing w:line="276" w:lineRule="auto"/>
        <w:rPr>
          <w:sz w:val="22"/>
        </w:rPr>
      </w:pPr>
    </w:p>
    <w:p w:rsidR="00976A14" w:rsidRDefault="00976A14" w:rsidP="00B955FE">
      <w:pPr>
        <w:pStyle w:val="a5"/>
        <w:numPr>
          <w:ilvl w:val="0"/>
          <w:numId w:val="4"/>
        </w:numPr>
        <w:autoSpaceDE w:val="0"/>
        <w:autoSpaceDN w:val="0"/>
        <w:spacing w:line="276" w:lineRule="auto"/>
        <w:ind w:leftChars="0"/>
        <w:rPr>
          <w:rFonts w:ascii="ＭＳ ゴシック" w:eastAsia="ＭＳ ゴシック" w:hAnsi="ＭＳ ゴシック"/>
          <w:sz w:val="22"/>
        </w:rPr>
      </w:pPr>
      <w:r w:rsidRPr="00976A14">
        <w:rPr>
          <w:rFonts w:ascii="ＭＳ ゴシック" w:eastAsia="ＭＳ ゴシック" w:hAnsi="ＭＳ ゴシック" w:hint="eastAsia"/>
          <w:sz w:val="22"/>
        </w:rPr>
        <w:t>第三期中期目標期間について</w:t>
      </w:r>
    </w:p>
    <w:p w:rsidR="00976A14" w:rsidRPr="00976A14" w:rsidRDefault="00976A14" w:rsidP="00B955FE">
      <w:pPr>
        <w:autoSpaceDE w:val="0"/>
        <w:autoSpaceDN w:val="0"/>
        <w:spacing w:line="276" w:lineRule="auto"/>
        <w:ind w:leftChars="200" w:left="420" w:firstLineChars="100" w:firstLine="220"/>
        <w:rPr>
          <w:rFonts w:ascii="ＭＳ ゴシック" w:eastAsia="ＭＳ ゴシック" w:hAnsi="ＭＳ ゴシック"/>
          <w:sz w:val="22"/>
        </w:rPr>
      </w:pPr>
      <w:r w:rsidRPr="00976A14">
        <w:rPr>
          <w:rFonts w:hint="eastAsia"/>
          <w:sz w:val="22"/>
        </w:rPr>
        <w:t>公立大学法人大阪</w:t>
      </w:r>
      <w:r w:rsidRPr="00B955FE">
        <w:rPr>
          <w:rFonts w:hint="eastAsia"/>
          <w:sz w:val="22"/>
        </w:rPr>
        <w:t>（以下「新法人」という。）</w:t>
      </w:r>
      <w:r w:rsidRPr="00976A14">
        <w:rPr>
          <w:rFonts w:hint="eastAsia"/>
          <w:sz w:val="22"/>
        </w:rPr>
        <w:t>の設立に伴い、公立大学法人大阪府立大学（以下「府大法人」という。）及び公立大学法人大阪市立大学（以下「市大法人」という。）が消滅したが、第三期中期目標期間に係る業務実績評価を行う必要がある。</w:t>
      </w:r>
    </w:p>
    <w:p w:rsidR="00976A14" w:rsidRDefault="00976A14" w:rsidP="00B955FE">
      <w:pPr>
        <w:pStyle w:val="a5"/>
        <w:autoSpaceDE w:val="0"/>
        <w:autoSpaceDN w:val="0"/>
        <w:spacing w:line="276" w:lineRule="auto"/>
        <w:ind w:leftChars="0" w:left="480" w:firstLineChars="100" w:firstLine="220"/>
        <w:rPr>
          <w:sz w:val="22"/>
        </w:rPr>
      </w:pPr>
      <w:r w:rsidRPr="00F91E33">
        <w:rPr>
          <w:rFonts w:hint="eastAsia"/>
          <w:sz w:val="22"/>
        </w:rPr>
        <w:t>府大法人及び市大法人の第三期中期目標期間は以下のとおり</w:t>
      </w:r>
      <w:r>
        <w:rPr>
          <w:rFonts w:hint="eastAsia"/>
          <w:sz w:val="22"/>
        </w:rPr>
        <w:t>であり、６年間の中期目標期間を満了せずに終了している。</w:t>
      </w:r>
    </w:p>
    <w:tbl>
      <w:tblPr>
        <w:tblStyle w:val="aa"/>
        <w:tblpPr w:leftFromText="142" w:rightFromText="142" w:vertAnchor="page" w:horzAnchor="margin" w:tblpXSpec="center" w:tblpY="5281"/>
        <w:tblW w:w="8188" w:type="dxa"/>
        <w:tblLook w:val="04A0" w:firstRow="1" w:lastRow="0" w:firstColumn="1" w:lastColumn="0" w:noHBand="0" w:noVBand="1"/>
      </w:tblPr>
      <w:tblGrid>
        <w:gridCol w:w="4077"/>
        <w:gridCol w:w="4111"/>
      </w:tblGrid>
      <w:tr w:rsidR="00B955FE" w:rsidRPr="00F91E33" w:rsidTr="00B955FE">
        <w:trPr>
          <w:trHeight w:val="556"/>
        </w:trPr>
        <w:tc>
          <w:tcPr>
            <w:tcW w:w="4077" w:type="dxa"/>
            <w:vAlign w:val="center"/>
          </w:tcPr>
          <w:p w:rsidR="00B955FE" w:rsidRPr="00F91E33" w:rsidRDefault="00B955FE" w:rsidP="00745347">
            <w:pPr>
              <w:spacing w:line="240" w:lineRule="exact"/>
              <w:jc w:val="center"/>
              <w:rPr>
                <w:rFonts w:asciiTheme="minorEastAsia" w:hAnsiTheme="minorEastAsia"/>
                <w:sz w:val="22"/>
              </w:rPr>
            </w:pPr>
            <w:r w:rsidRPr="00F91E33">
              <w:rPr>
                <w:rFonts w:asciiTheme="minorEastAsia" w:hAnsiTheme="minorEastAsia" w:hint="eastAsia"/>
                <w:sz w:val="22"/>
              </w:rPr>
              <w:t>公立大学法人大阪府立大学</w:t>
            </w:r>
          </w:p>
          <w:p w:rsidR="00B955FE" w:rsidRPr="00F91E33" w:rsidRDefault="00B955FE" w:rsidP="00745347">
            <w:pPr>
              <w:spacing w:line="240" w:lineRule="exact"/>
              <w:jc w:val="center"/>
              <w:rPr>
                <w:rFonts w:asciiTheme="minorEastAsia" w:hAnsiTheme="minorEastAsia"/>
                <w:sz w:val="22"/>
              </w:rPr>
            </w:pPr>
            <w:r w:rsidRPr="00F91E33">
              <w:rPr>
                <w:rFonts w:asciiTheme="minorEastAsia" w:hAnsiTheme="minorEastAsia" w:hint="eastAsia"/>
                <w:sz w:val="22"/>
              </w:rPr>
              <w:t>第３期中期目標</w:t>
            </w:r>
            <w:r>
              <w:rPr>
                <w:rFonts w:asciiTheme="minorEastAsia" w:hAnsiTheme="minorEastAsia" w:hint="eastAsia"/>
                <w:sz w:val="22"/>
              </w:rPr>
              <w:t>期間</w:t>
            </w:r>
          </w:p>
        </w:tc>
        <w:tc>
          <w:tcPr>
            <w:tcW w:w="4111" w:type="dxa"/>
            <w:vAlign w:val="center"/>
          </w:tcPr>
          <w:p w:rsidR="00B955FE" w:rsidRPr="00F91E33" w:rsidRDefault="00B955FE" w:rsidP="00745347">
            <w:pPr>
              <w:spacing w:line="240" w:lineRule="exact"/>
              <w:jc w:val="center"/>
              <w:rPr>
                <w:rFonts w:asciiTheme="minorEastAsia" w:hAnsiTheme="minorEastAsia"/>
                <w:sz w:val="22"/>
              </w:rPr>
            </w:pPr>
            <w:r w:rsidRPr="00F91E33">
              <w:rPr>
                <w:rFonts w:asciiTheme="minorEastAsia" w:hAnsiTheme="minorEastAsia" w:hint="eastAsia"/>
                <w:sz w:val="22"/>
              </w:rPr>
              <w:t>公立大学法人大阪市立大学</w:t>
            </w:r>
          </w:p>
          <w:p w:rsidR="00B955FE" w:rsidRPr="00F91E33" w:rsidRDefault="00B955FE" w:rsidP="00745347">
            <w:pPr>
              <w:spacing w:line="240" w:lineRule="exact"/>
              <w:jc w:val="center"/>
              <w:rPr>
                <w:rFonts w:asciiTheme="minorEastAsia" w:hAnsiTheme="minorEastAsia"/>
                <w:sz w:val="22"/>
              </w:rPr>
            </w:pPr>
            <w:r w:rsidRPr="00F91E33">
              <w:rPr>
                <w:rFonts w:asciiTheme="minorEastAsia" w:hAnsiTheme="minorEastAsia" w:hint="eastAsia"/>
                <w:sz w:val="22"/>
              </w:rPr>
              <w:t>第３期中期目標</w:t>
            </w:r>
            <w:r>
              <w:rPr>
                <w:rFonts w:asciiTheme="minorEastAsia" w:hAnsiTheme="minorEastAsia" w:hint="eastAsia"/>
                <w:sz w:val="22"/>
              </w:rPr>
              <w:t>期間</w:t>
            </w:r>
          </w:p>
        </w:tc>
      </w:tr>
      <w:tr w:rsidR="00B955FE" w:rsidRPr="00F91E33" w:rsidTr="00745347">
        <w:trPr>
          <w:trHeight w:val="696"/>
        </w:trPr>
        <w:tc>
          <w:tcPr>
            <w:tcW w:w="4077" w:type="dxa"/>
            <w:vAlign w:val="center"/>
          </w:tcPr>
          <w:p w:rsidR="00B955FE" w:rsidRPr="00F91E33" w:rsidRDefault="00B955FE" w:rsidP="00745347">
            <w:pPr>
              <w:spacing w:line="280" w:lineRule="exact"/>
              <w:rPr>
                <w:rFonts w:asciiTheme="minorEastAsia" w:hAnsiTheme="minorEastAsia"/>
                <w:sz w:val="22"/>
              </w:rPr>
            </w:pPr>
            <w:r w:rsidRPr="00F91E33">
              <w:rPr>
                <w:rFonts w:asciiTheme="minorEastAsia" w:hAnsiTheme="minorEastAsia" w:hint="eastAsia"/>
                <w:sz w:val="22"/>
              </w:rPr>
              <w:t>2017年４月１日から2023年３月31</w:t>
            </w:r>
            <w:r>
              <w:rPr>
                <w:rFonts w:asciiTheme="minorEastAsia" w:hAnsiTheme="minorEastAsia" w:hint="eastAsia"/>
                <w:sz w:val="22"/>
              </w:rPr>
              <w:t>日までの６年間</w:t>
            </w:r>
          </w:p>
        </w:tc>
        <w:tc>
          <w:tcPr>
            <w:tcW w:w="4111" w:type="dxa"/>
            <w:vAlign w:val="center"/>
          </w:tcPr>
          <w:p w:rsidR="00B955FE" w:rsidRPr="00F91E33" w:rsidRDefault="00B955FE" w:rsidP="00745347">
            <w:pPr>
              <w:spacing w:line="280" w:lineRule="exact"/>
              <w:rPr>
                <w:rFonts w:asciiTheme="minorEastAsia" w:hAnsiTheme="minorEastAsia"/>
                <w:sz w:val="22"/>
              </w:rPr>
            </w:pPr>
            <w:r w:rsidRPr="00F91E33">
              <w:rPr>
                <w:rFonts w:asciiTheme="minorEastAsia" w:hAnsiTheme="minorEastAsia" w:hint="eastAsia"/>
                <w:sz w:val="22"/>
              </w:rPr>
              <w:t>2018年４月１日から2024年３月31日までの６年間</w:t>
            </w:r>
          </w:p>
        </w:tc>
      </w:tr>
    </w:tbl>
    <w:p w:rsidR="00976A14" w:rsidRDefault="00976A14" w:rsidP="00B955FE">
      <w:pPr>
        <w:autoSpaceDE w:val="0"/>
        <w:autoSpaceDN w:val="0"/>
        <w:spacing w:line="276" w:lineRule="auto"/>
        <w:rPr>
          <w:rFonts w:ascii="ＭＳ ゴシック" w:eastAsia="ＭＳ ゴシック" w:hAnsi="ＭＳ ゴシック"/>
          <w:sz w:val="22"/>
        </w:rPr>
      </w:pPr>
    </w:p>
    <w:p w:rsidR="00976A14" w:rsidRPr="00B955FE" w:rsidRDefault="00AF7389" w:rsidP="00B955FE">
      <w:pPr>
        <w:pStyle w:val="a5"/>
        <w:numPr>
          <w:ilvl w:val="0"/>
          <w:numId w:val="4"/>
        </w:numPr>
        <w:autoSpaceDE w:val="0"/>
        <w:autoSpaceDN w:val="0"/>
        <w:spacing w:line="276" w:lineRule="auto"/>
        <w:ind w:leftChars="0"/>
        <w:rPr>
          <w:rFonts w:ascii="ＭＳ ゴシック" w:eastAsia="ＭＳ ゴシック" w:hAnsi="ＭＳ ゴシック"/>
          <w:sz w:val="22"/>
        </w:rPr>
      </w:pPr>
      <w:r w:rsidRPr="00B955FE">
        <w:rPr>
          <w:rFonts w:ascii="ＭＳ ゴシック" w:eastAsia="ＭＳ ゴシック" w:hAnsi="ＭＳ ゴシック" w:hint="eastAsia"/>
          <w:sz w:val="22"/>
        </w:rPr>
        <w:t>消滅法人の</w:t>
      </w:r>
      <w:r w:rsidR="00B955FE" w:rsidRPr="00B955FE">
        <w:rPr>
          <w:rFonts w:ascii="ＭＳ ゴシック" w:eastAsia="ＭＳ ゴシック" w:hAnsi="ＭＳ ゴシック" w:hint="eastAsia"/>
          <w:sz w:val="22"/>
        </w:rPr>
        <w:t>業務実績評価について</w:t>
      </w:r>
    </w:p>
    <w:p w:rsidR="00AF7389" w:rsidRPr="00B955FE" w:rsidRDefault="00B955FE" w:rsidP="00B955FE">
      <w:pPr>
        <w:autoSpaceDE w:val="0"/>
        <w:autoSpaceDN w:val="0"/>
        <w:spacing w:line="276" w:lineRule="auto"/>
        <w:ind w:leftChars="200" w:left="420" w:firstLineChars="100" w:firstLine="220"/>
        <w:rPr>
          <w:rFonts w:asciiTheme="minorEastAsia" w:hAnsiTheme="minorEastAsia"/>
          <w:sz w:val="22"/>
        </w:rPr>
      </w:pPr>
      <w:r w:rsidRPr="00B955FE">
        <w:rPr>
          <w:rFonts w:asciiTheme="minorEastAsia" w:hAnsiTheme="minorEastAsia" w:hint="eastAsia"/>
          <w:sz w:val="22"/>
        </w:rPr>
        <w:t>消滅法人の業務実績評価については、地方独立行政法人法</w:t>
      </w:r>
      <w:r w:rsidR="00AF7389" w:rsidRPr="00B955FE">
        <w:rPr>
          <w:rFonts w:asciiTheme="minorEastAsia" w:hAnsiTheme="minorEastAsia" w:hint="eastAsia"/>
          <w:sz w:val="22"/>
        </w:rPr>
        <w:t>第120条第４項の規定により、中期目標期間の途中に法人が合併した場合であっても</w:t>
      </w:r>
      <w:r w:rsidR="004F781C">
        <w:rPr>
          <w:rFonts w:asciiTheme="minorEastAsia" w:hAnsiTheme="minorEastAsia" w:hint="eastAsia"/>
          <w:sz w:val="22"/>
        </w:rPr>
        <w:t>業務実績評価が</w:t>
      </w:r>
      <w:r w:rsidR="00AF7389" w:rsidRPr="00B955FE">
        <w:rPr>
          <w:rFonts w:asciiTheme="minorEastAsia" w:hAnsiTheme="minorEastAsia" w:hint="eastAsia"/>
          <w:sz w:val="22"/>
        </w:rPr>
        <w:t>義務付けられて</w:t>
      </w:r>
      <w:r w:rsidR="004F781C">
        <w:rPr>
          <w:rFonts w:asciiTheme="minorEastAsia" w:hAnsiTheme="minorEastAsia" w:hint="eastAsia"/>
          <w:sz w:val="22"/>
        </w:rPr>
        <w:t>いる。なお、</w:t>
      </w:r>
      <w:r w:rsidRPr="00B955FE">
        <w:rPr>
          <w:rFonts w:asciiTheme="minorEastAsia" w:hAnsiTheme="minorEastAsia" w:hint="eastAsia"/>
          <w:sz w:val="22"/>
        </w:rPr>
        <w:t>業務実績報告書の提出及び公表は、新法人が行うものと規定されている。</w:t>
      </w:r>
    </w:p>
    <w:p w:rsidR="00AF7389" w:rsidRPr="00AF7389" w:rsidRDefault="00AF7389" w:rsidP="00B955FE">
      <w:pPr>
        <w:pStyle w:val="a5"/>
        <w:autoSpaceDE w:val="0"/>
        <w:autoSpaceDN w:val="0"/>
        <w:spacing w:line="276" w:lineRule="auto"/>
        <w:ind w:leftChars="0" w:left="480"/>
        <w:rPr>
          <w:rFonts w:ascii="ＭＳ ゴシック" w:eastAsia="ＭＳ ゴシック" w:hAnsi="ＭＳ ゴシック"/>
          <w:color w:val="FF0000"/>
          <w:sz w:val="22"/>
        </w:rPr>
      </w:pPr>
    </w:p>
    <w:p w:rsidR="00976A14" w:rsidRPr="00976A14" w:rsidRDefault="00976A14" w:rsidP="00B955FE">
      <w:pPr>
        <w:pStyle w:val="a5"/>
        <w:numPr>
          <w:ilvl w:val="0"/>
          <w:numId w:val="4"/>
        </w:numPr>
        <w:autoSpaceDE w:val="0"/>
        <w:autoSpaceDN w:val="0"/>
        <w:spacing w:line="276" w:lineRule="auto"/>
        <w:ind w:leftChars="0"/>
        <w:rPr>
          <w:rFonts w:ascii="ＭＳ ゴシック" w:eastAsia="ＭＳ ゴシック" w:hAnsi="ＭＳ ゴシック"/>
          <w:sz w:val="22"/>
        </w:rPr>
      </w:pPr>
      <w:r w:rsidRPr="00976A14">
        <w:rPr>
          <w:rFonts w:ascii="ＭＳ ゴシック" w:eastAsia="ＭＳ ゴシック" w:hAnsi="ＭＳ ゴシック" w:hint="eastAsia"/>
          <w:sz w:val="22"/>
        </w:rPr>
        <w:t>第三期中期目標期間（６年間）を満了せずに終了することに伴う評価手法について</w:t>
      </w:r>
    </w:p>
    <w:p w:rsidR="00AF7389" w:rsidRDefault="00976A14" w:rsidP="00B955FE">
      <w:pPr>
        <w:autoSpaceDE w:val="0"/>
        <w:autoSpaceDN w:val="0"/>
        <w:spacing w:line="276" w:lineRule="auto"/>
        <w:ind w:leftChars="132" w:left="277" w:firstLineChars="100" w:firstLine="220"/>
        <w:rPr>
          <w:rFonts w:asciiTheme="minorEastAsia" w:hAnsiTheme="minorEastAsia"/>
          <w:sz w:val="22"/>
        </w:rPr>
      </w:pPr>
      <w:r w:rsidRPr="00976A14">
        <w:rPr>
          <w:rFonts w:asciiTheme="minorEastAsia" w:hAnsiTheme="minorEastAsia" w:hint="eastAsia"/>
          <w:sz w:val="22"/>
        </w:rPr>
        <w:t>６年間の中期目標期間を満了せずに終了（</w:t>
      </w:r>
      <w:r>
        <w:rPr>
          <w:rFonts w:asciiTheme="minorEastAsia" w:hAnsiTheme="minorEastAsia" w:hint="eastAsia"/>
          <w:sz w:val="22"/>
        </w:rPr>
        <w:t>府大法人は２年間、市</w:t>
      </w:r>
      <w:r w:rsidRPr="00976A14">
        <w:rPr>
          <w:rFonts w:asciiTheme="minorEastAsia" w:hAnsiTheme="minorEastAsia" w:hint="eastAsia"/>
          <w:sz w:val="22"/>
        </w:rPr>
        <w:t>大</w:t>
      </w:r>
      <w:r>
        <w:rPr>
          <w:rFonts w:asciiTheme="minorEastAsia" w:hAnsiTheme="minorEastAsia" w:hint="eastAsia"/>
          <w:sz w:val="22"/>
        </w:rPr>
        <w:t>法人</w:t>
      </w:r>
      <w:r w:rsidRPr="00976A14">
        <w:rPr>
          <w:rFonts w:asciiTheme="minorEastAsia" w:hAnsiTheme="minorEastAsia" w:hint="eastAsia"/>
          <w:sz w:val="22"/>
        </w:rPr>
        <w:t>は</w:t>
      </w:r>
      <w:r>
        <w:rPr>
          <w:rFonts w:asciiTheme="minorEastAsia" w:hAnsiTheme="minorEastAsia" w:hint="eastAsia"/>
          <w:sz w:val="22"/>
        </w:rPr>
        <w:t>１年間で終了）することに対する評価手法については、</w:t>
      </w:r>
      <w:r w:rsidRPr="00976A14">
        <w:rPr>
          <w:rFonts w:asciiTheme="minorEastAsia" w:hAnsiTheme="minorEastAsia" w:hint="eastAsia"/>
          <w:sz w:val="22"/>
        </w:rPr>
        <w:t>下記のとおり</w:t>
      </w:r>
      <w:r>
        <w:rPr>
          <w:rFonts w:asciiTheme="minorEastAsia" w:hAnsiTheme="minorEastAsia" w:hint="eastAsia"/>
          <w:sz w:val="22"/>
        </w:rPr>
        <w:t>取り扱うこと</w:t>
      </w:r>
      <w:r w:rsidRPr="00976A14">
        <w:rPr>
          <w:rFonts w:asciiTheme="minorEastAsia" w:hAnsiTheme="minorEastAsia" w:hint="eastAsia"/>
          <w:sz w:val="22"/>
        </w:rPr>
        <w:t>とする。</w:t>
      </w:r>
    </w:p>
    <w:p w:rsidR="00B955FE" w:rsidRPr="00976A14" w:rsidRDefault="00B955FE" w:rsidP="00B955FE">
      <w:pPr>
        <w:autoSpaceDE w:val="0"/>
        <w:autoSpaceDN w:val="0"/>
        <w:spacing w:line="276" w:lineRule="auto"/>
        <w:ind w:leftChars="132" w:left="277" w:firstLineChars="100" w:firstLine="220"/>
        <w:rPr>
          <w:rFonts w:asciiTheme="minorEastAsia" w:hAnsiTheme="minorEastAsia"/>
          <w:sz w:val="22"/>
        </w:rPr>
      </w:pPr>
    </w:p>
    <w:p w:rsidR="00976A14" w:rsidRPr="00976A14" w:rsidRDefault="00976A14" w:rsidP="00B955FE">
      <w:pPr>
        <w:autoSpaceDE w:val="0"/>
        <w:autoSpaceDN w:val="0"/>
        <w:spacing w:line="276" w:lineRule="auto"/>
        <w:ind w:firstLine="241"/>
        <w:rPr>
          <w:rFonts w:asciiTheme="minorEastAsia" w:hAnsiTheme="minorEastAsia"/>
          <w:sz w:val="22"/>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4B1BE242" wp14:editId="07C3DE7D">
                <wp:simplePos x="0" y="0"/>
                <wp:positionH relativeFrom="column">
                  <wp:posOffset>2571750</wp:posOffset>
                </wp:positionH>
                <wp:positionV relativeFrom="paragraph">
                  <wp:posOffset>9525</wp:posOffset>
                </wp:positionV>
                <wp:extent cx="660400" cy="177800"/>
                <wp:effectExtent l="38100" t="0" r="0" b="31750"/>
                <wp:wrapNone/>
                <wp:docPr id="9" name="下矢印 9"/>
                <wp:cNvGraphicFramePr/>
                <a:graphic xmlns:a="http://schemas.openxmlformats.org/drawingml/2006/main">
                  <a:graphicData uri="http://schemas.microsoft.com/office/word/2010/wordprocessingShape">
                    <wps:wsp>
                      <wps:cNvSpPr/>
                      <wps:spPr>
                        <a:xfrm>
                          <a:off x="0" y="0"/>
                          <a:ext cx="6604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03B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02.5pt;margin-top:.75pt;width:52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jkhwIAAD0FAAAOAAAAZHJzL2Uyb0RvYy54bWysVM1u2zAMvg/YOwi6r3aC9C+oUwQtOgwo&#10;2mLt0LMiS7UBWdQoJU72CsOeYcCeYMc90Ia9xijZcYq22GGYDzIlkh/JT6ROTteNYSuFvgZb8NFe&#10;zpmyEsraPhT8w93FmyPOfBC2FAasKvhGeX46e/3qpHVTNYYKTKmQEYj109YVvArBTbPMy0o1wu+B&#10;U5aUGrARgbb4kJUoWkJvTDbO84OsBSwdglTe0+l5p+SzhK+1kuFaa68CMwWn3EJaMa2LuGazEzF9&#10;QOGqWvZpiH/IohG1paAD1LkIgi2xfgbV1BLBgw57EpoMtK6lSjVQNaP8STW3lXAq1ULkeDfQ5P8f&#10;rLxa3SCry4Ifc2ZFQ1f088fn31+//frynR1Helrnp2R1626w33kSY61rjU38UxVsnSjdDJSqdWCS&#10;Dg8O8klOxEtSjQ4Pj0gmlGzn7NCHtwoaFoWCl9DaOSK0iU2xuvShs9/akXPMqMshSWFjVEzD2PdK&#10;UykUdZy8UxOpM4NsJej6hZTKhlGnqkSpuuP9nL4+qcEjpZgAI7KujRmwe4DYoM+xu1x7++iqUg8O&#10;zvnfEuucB48UGWwYnJvaAr4EYKiqPnJnvyWpoyaytIByQxeN0E2Ad/KiJsIvhQ83Aqnl6Y5ojMM1&#10;LdpAW3DoJc4qwE8vnUd76kTSctbSCBXcf1wKVJyZd5Z69Hg0mcSZS5vJ/uGYNvhYs3isscvmDOia&#10;RvRgOJnEaB/MVtQIzT1N+zxGJZWwkmIXXAbcbs5CN9r0Xkg1nyczmjMnwqW9dTKCR1ZjL92t7wW6&#10;vusCtesVbMdNTJ/0XWcbPS3MlwF0nZpyx2vPN81oapz+PYmPwON9stq9erM/AAAA//8DAFBLAwQU&#10;AAYACAAAACEATY9vFtwAAAAIAQAADwAAAGRycy9kb3ducmV2LnhtbEyPzU7DMBCE70i8g7VIXFBr&#10;UxEgIU4FSD0gyoEWcXbjJY6I18F22/D2LCc4jr7R/NTLyQ/igDH1gTRczhUIpDbYnjoNb9vV7BZE&#10;yoasGQKhhm9MsGxOT2pT2XCkVzxscic4hFJlNLicx0rK1Dr0Js3DiMTsI0RvMsvYSRvNkcP9IBdK&#10;XUtveuIGZ0Z8dNh+bvaee+P7i7zoxq9QrPqnZ/eQSnWz1vr8bLq/A5Fxyn9m+J3P06HhTbuwJ5vE&#10;oOFKFfwlMyhAMC9UyXqnYVEWIJta/j/Q/AAAAP//AwBQSwECLQAUAAYACAAAACEAtoM4kv4AAADh&#10;AQAAEwAAAAAAAAAAAAAAAAAAAAAAW0NvbnRlbnRfVHlwZXNdLnhtbFBLAQItABQABgAIAAAAIQA4&#10;/SH/1gAAAJQBAAALAAAAAAAAAAAAAAAAAC8BAABfcmVscy8ucmVsc1BLAQItABQABgAIAAAAIQDM&#10;18jkhwIAAD0FAAAOAAAAAAAAAAAAAAAAAC4CAABkcnMvZTJvRG9jLnhtbFBLAQItABQABgAIAAAA&#10;IQBNj28W3AAAAAgBAAAPAAAAAAAAAAAAAAAAAOEEAABkcnMvZG93bnJldi54bWxQSwUGAAAAAAQA&#10;BADzAAAA6gUAAAAA&#10;" adj="10800" fillcolor="#4f81bd [3204]" strokecolor="#243f60 [1604]" strokeweight="2pt"/>
            </w:pict>
          </mc:Fallback>
        </mc:AlternateContent>
      </w:r>
    </w:p>
    <w:p w:rsidR="00976A14" w:rsidRDefault="00976A14" w:rsidP="00B955FE">
      <w:pPr>
        <w:autoSpaceDE w:val="0"/>
        <w:autoSpaceDN w:val="0"/>
        <w:spacing w:line="276" w:lineRule="auto"/>
        <w:ind w:firstLine="241"/>
        <w:rPr>
          <w:rFonts w:asciiTheme="minorEastAsia" w:hAnsiTheme="minorEastAsia"/>
          <w:sz w:val="22"/>
        </w:rPr>
      </w:pPr>
      <w:r w:rsidRPr="00976A14">
        <w:rPr>
          <w:rFonts w:asciiTheme="minorEastAsia" w:hAnsiTheme="minorEastAsia" w:hint="eastAsia"/>
          <w:sz w:val="22"/>
        </w:rPr>
        <w:t>当初指示した６年間の中期目標の内容に対する</w:t>
      </w:r>
      <w:r w:rsidRPr="00155C84">
        <w:rPr>
          <w:rFonts w:asciiTheme="minorEastAsia" w:hAnsiTheme="minorEastAsia" w:hint="eastAsia"/>
          <w:sz w:val="22"/>
          <w:u w:val="single"/>
        </w:rPr>
        <w:t>各法人が消滅時に経過した年における業務実績の達成状況を評価する</w:t>
      </w:r>
      <w:r w:rsidRPr="00976A14">
        <w:rPr>
          <w:rFonts w:asciiTheme="minorEastAsia" w:hAnsiTheme="minorEastAsia" w:hint="eastAsia"/>
          <w:sz w:val="22"/>
        </w:rPr>
        <w:t>。</w:t>
      </w:r>
    </w:p>
    <w:p w:rsidR="00976A14" w:rsidRPr="00F91E33" w:rsidRDefault="00976A14" w:rsidP="00952B35">
      <w:pPr>
        <w:autoSpaceDE w:val="0"/>
        <w:autoSpaceDN w:val="0"/>
        <w:ind w:firstLine="241"/>
        <w:rPr>
          <w:rFonts w:asciiTheme="minorEastAsia" w:hAnsiTheme="minorEastAsia"/>
          <w:sz w:val="22"/>
        </w:rPr>
      </w:pPr>
    </w:p>
    <w:p w:rsidR="00032986" w:rsidRPr="00F91E33" w:rsidRDefault="00032986" w:rsidP="00952B35">
      <w:pPr>
        <w:autoSpaceDE w:val="0"/>
        <w:autoSpaceDN w:val="0"/>
        <w:ind w:firstLine="241"/>
        <w:rPr>
          <w:rFonts w:asciiTheme="minorEastAsia" w:hAnsiTheme="minorEastAsia"/>
          <w:sz w:val="22"/>
        </w:rPr>
      </w:pPr>
    </w:p>
    <w:p w:rsidR="00766272" w:rsidRDefault="00766272" w:rsidP="00FB0248">
      <w:pPr>
        <w:rPr>
          <w:rFonts w:asciiTheme="majorEastAsia" w:eastAsiaTheme="majorEastAsia" w:hAnsiTheme="majorEastAsia"/>
        </w:rPr>
      </w:pPr>
    </w:p>
    <w:p w:rsidR="00B955FE" w:rsidRDefault="00B955FE">
      <w:pPr>
        <w:widowControl/>
        <w:jc w:val="left"/>
        <w:rPr>
          <w:rFonts w:asciiTheme="majorEastAsia" w:eastAsiaTheme="majorEastAsia" w:hAnsiTheme="majorEastAsia"/>
        </w:rPr>
      </w:pPr>
      <w:r>
        <w:rPr>
          <w:rFonts w:asciiTheme="majorEastAsia" w:eastAsiaTheme="majorEastAsia" w:hAnsiTheme="majorEastAsia"/>
        </w:rPr>
        <w:br w:type="page"/>
      </w:r>
    </w:p>
    <w:p w:rsidR="00766272" w:rsidRDefault="00766272" w:rsidP="00FB0248">
      <w:pPr>
        <w:rPr>
          <w:rFonts w:asciiTheme="majorEastAsia" w:eastAsiaTheme="majorEastAsia" w:hAnsiTheme="majorEastAsia"/>
        </w:rPr>
      </w:pPr>
    </w:p>
    <w:p w:rsidR="0001711B" w:rsidRDefault="0074683E" w:rsidP="00FB024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DB9694" wp14:editId="042C9BDD">
                <wp:simplePos x="0" y="0"/>
                <wp:positionH relativeFrom="column">
                  <wp:posOffset>118745</wp:posOffset>
                </wp:positionH>
                <wp:positionV relativeFrom="paragraph">
                  <wp:posOffset>63500</wp:posOffset>
                </wp:positionV>
                <wp:extent cx="1905000" cy="3333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905000" cy="333375"/>
                        </a:xfrm>
                        <a:prstGeom prst="rect">
                          <a:avLst/>
                        </a:prstGeom>
                        <a:solidFill>
                          <a:sysClr val="window" lastClr="FFFFFF"/>
                        </a:solidFill>
                        <a:ln w="6350">
                          <a:solidFill>
                            <a:prstClr val="black"/>
                          </a:solidFill>
                        </a:ln>
                        <a:effectLst/>
                      </wps:spPr>
                      <wps:txbx>
                        <w:txbxContent>
                          <w:p w:rsidR="005430A3" w:rsidRPr="00EE3FC0" w:rsidRDefault="00766272" w:rsidP="00B20AB9">
                            <w:pPr>
                              <w:jc w:val="center"/>
                              <w:rPr>
                                <w:rFonts w:asciiTheme="majorEastAsia" w:eastAsiaTheme="majorEastAsia" w:hAnsiTheme="majorEastAsia"/>
                                <w:sz w:val="22"/>
                              </w:rPr>
                            </w:pPr>
                            <w:r>
                              <w:rPr>
                                <w:rFonts w:asciiTheme="majorEastAsia" w:eastAsiaTheme="majorEastAsia" w:hAnsiTheme="majorEastAsia" w:hint="eastAsia"/>
                                <w:sz w:val="22"/>
                              </w:rPr>
                              <w:t>地方独立行政法人法</w:t>
                            </w:r>
                            <w:r>
                              <w:rPr>
                                <w:rFonts w:asciiTheme="majorEastAsia" w:eastAsiaTheme="majorEastAsia" w:hAnsiTheme="majorEastAsia"/>
                                <w:sz w:val="22"/>
                              </w:rPr>
                              <w:t>（</w:t>
                            </w:r>
                            <w:r>
                              <w:rPr>
                                <w:rFonts w:asciiTheme="majorEastAsia" w:eastAsiaTheme="majorEastAsia" w:hAnsiTheme="majorEastAsia" w:hint="eastAsia"/>
                                <w:sz w:val="22"/>
                              </w:rPr>
                              <w:t>抄</w:t>
                            </w:r>
                            <w:r>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75DB9694" id="_x0000_t202" coordsize="21600,21600" o:spt="202" path="m,l,21600r21600,l21600,xe">
                <v:stroke joinstyle="miter"/>
                <v:path gradientshapeok="t" o:connecttype="rect"/>
              </v:shapetype>
              <v:shape id="テキスト ボックス 8" o:spid="_x0000_s1027" type="#_x0000_t202" style="position:absolute;left:0;text-align:left;margin-left:9.35pt;margin-top:5pt;width:150pt;height:2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NzeAIAANEEAAAOAAAAZHJzL2Uyb0RvYy54bWysVEtu2zAQ3RfoHQjua8lJnI8ROXAduChg&#10;JAGcImuKomKhFIclaUvu0gaKHqJXKLrueXSRDinZcZKuimpBz3C+fPPGl1d1KclKGFuASmi/F1Mi&#10;FIesUI8J/XQ/fXdOiXVMZUyCEgldC0uvRm/fXFZ6KI5gATIThmASZYeVTujCOT2MIssXomS2B1oo&#10;NOZgSuZQNY9RZliF2UsZHcXxaVSBybQBLqzF2+vWSEchf54L7m7z3ApHZEKxNxdOE87Un9Hokg0f&#10;DdOLgndtsH/oomSFwqL7VNfMMbI0xatUZcENWMhdj0MZQZ4XXIQ34Gv68YvXzBdMi/AWBMfqPUz2&#10;/6XlN6s7Q4osoTgoxUocUbP91mx+NpvfzfY7abY/mu222fxCnZx7uCpthxg11xjn6vdQ49h39xYv&#10;PQp1bkr/i+8jaEfg13uwRe0I90EX8SCO0cTRdozf2cCniZ6itbHug4CSeCGhBocZMGarmXWt687F&#10;F7Mgi2xaSBmUtZ1IQ1YM5450yaCiRDLr8DKh0/B11Z6FSUWqhJ4eD+JQ6ZnN19rnTCXjn19nwO6l&#10;8vVF4F7Xp4eshcZLrk7rDscUsjXCaKDlpdV8WmCVGTZ6xwwSEeHB5XK3eOQSsDXoJEoWYL7+7d77&#10;Iz/QSkmFxE6o/bJkRuD7PypkzkX/5MRvQlBOBmdHqJhDS3poUctyAohhH9dY8yB6fyd3Ym6gfMAd&#10;HPuqaGKKY+2Epjtx4tp1wx3mYjwOTsh9zdxMzTX3qT1gHt37+oEZ3Y3bIVFuYLcCbPhi6q2vj1Qw&#10;XjrIi0AJD3CLKlLJK7g3gVTdjvvFPNSD19M/0egPAAAA//8DAFBLAwQUAAYACAAAACEA/5dH2N4A&#10;AAAIAQAADwAAAGRycy9kb3ducmV2LnhtbExPy07DMBC8I/EP1iJxqahDUUoJcaoKqQc4ILW0PG5O&#10;vCQR9jqK3Tb8Pdteymk1O6N55PPBWbHHPrSeFNyOExBIlTct1Qo2b8ubGYgQNRltPaGCXwwwLy4v&#10;cp0Zf6AV7texFmxCIdMKmhi7TMpQNeh0GPsOiblv3zsdGfa1NL0+sLmzcpIkU+l0S5zQ6A6fGqx+&#10;1junYPS+XcjNS/r64ctlucXnrwf7mSp1fTUsHkFEHOJZDMf6XB0K7lT6HZkgLOPZPSv5JjyJ+bvT&#10;o1QwnaQgi1z+H1D8AQAA//8DAFBLAQItABQABgAIAAAAIQC2gziS/gAAAOEBAAATAAAAAAAAAAAA&#10;AAAAAAAAAABbQ29udGVudF9UeXBlc10ueG1sUEsBAi0AFAAGAAgAAAAhADj9If/WAAAAlAEAAAsA&#10;AAAAAAAAAAAAAAAALwEAAF9yZWxzLy5yZWxzUEsBAi0AFAAGAAgAAAAhAIKBw3N4AgAA0QQAAA4A&#10;AAAAAAAAAAAAAAAALgIAAGRycy9lMm9Eb2MueG1sUEsBAi0AFAAGAAgAAAAhAP+XR9jeAAAACAEA&#10;AA8AAAAAAAAAAAAAAAAA0gQAAGRycy9kb3ducmV2LnhtbFBLBQYAAAAABAAEAPMAAADdBQAAAAA=&#10;" fillcolor="window" strokeweight=".5pt">
                <v:textbox>
                  <w:txbxContent>
                    <w:p w:rsidR="005430A3" w:rsidRPr="00EE3FC0" w:rsidRDefault="00766272" w:rsidP="00B20AB9">
                      <w:pPr>
                        <w:jc w:val="center"/>
                        <w:rPr>
                          <w:rFonts w:asciiTheme="majorEastAsia" w:eastAsiaTheme="majorEastAsia" w:hAnsiTheme="majorEastAsia"/>
                          <w:sz w:val="22"/>
                        </w:rPr>
                      </w:pPr>
                      <w:r>
                        <w:rPr>
                          <w:rFonts w:asciiTheme="majorEastAsia" w:eastAsiaTheme="majorEastAsia" w:hAnsiTheme="majorEastAsia" w:hint="eastAsia"/>
                          <w:sz w:val="22"/>
                        </w:rPr>
                        <w:t>地方独立行政法人法</w:t>
                      </w:r>
                      <w:r>
                        <w:rPr>
                          <w:rFonts w:asciiTheme="majorEastAsia" w:eastAsiaTheme="majorEastAsia" w:hAnsiTheme="majorEastAsia"/>
                          <w:sz w:val="22"/>
                        </w:rPr>
                        <w:t>（</w:t>
                      </w:r>
                      <w:r>
                        <w:rPr>
                          <w:rFonts w:asciiTheme="majorEastAsia" w:eastAsiaTheme="majorEastAsia" w:hAnsiTheme="majorEastAsia" w:hint="eastAsia"/>
                          <w:sz w:val="22"/>
                        </w:rPr>
                        <w:t>抄</w:t>
                      </w:r>
                      <w:r>
                        <w:rPr>
                          <w:rFonts w:asciiTheme="majorEastAsia" w:eastAsiaTheme="majorEastAsia" w:hAnsiTheme="majorEastAsia"/>
                          <w:sz w:val="22"/>
                        </w:rPr>
                        <w:t>）</w:t>
                      </w:r>
                    </w:p>
                  </w:txbxContent>
                </v:textbox>
              </v:shape>
            </w:pict>
          </mc:Fallback>
        </mc:AlternateContent>
      </w:r>
    </w:p>
    <w:p w:rsidR="0074683E" w:rsidRDefault="0074683E" w:rsidP="00FB0248">
      <w:r>
        <w:rPr>
          <w:noProof/>
        </w:rPr>
        <mc:AlternateContent>
          <mc:Choice Requires="wps">
            <w:drawing>
              <wp:anchor distT="0" distB="0" distL="114300" distR="114300" simplePos="0" relativeHeight="251649024" behindDoc="0" locked="0" layoutInCell="1" allowOverlap="1" wp14:anchorId="079ADB30" wp14:editId="5AD77CC1">
                <wp:simplePos x="0" y="0"/>
                <wp:positionH relativeFrom="column">
                  <wp:posOffset>-100330</wp:posOffset>
                </wp:positionH>
                <wp:positionV relativeFrom="paragraph">
                  <wp:posOffset>52070</wp:posOffset>
                </wp:positionV>
                <wp:extent cx="6019800" cy="78771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019800" cy="7877175"/>
                        </a:xfrm>
                        <a:prstGeom prst="roundRect">
                          <a:avLst>
                            <a:gd name="adj" fmla="val 4360"/>
                          </a:avLst>
                        </a:prstGeom>
                        <a:solidFill>
                          <a:sysClr val="window" lastClr="FFFFFF"/>
                        </a:solidFill>
                        <a:ln w="25400" cap="flat" cmpd="sng" algn="ctr">
                          <a:solidFill>
                            <a:srgbClr val="F79646"/>
                          </a:solidFill>
                          <a:prstDash val="solid"/>
                        </a:ln>
                        <a:effectLst/>
                      </wps:spPr>
                      <wps:txbx>
                        <w:txbxContent>
                          <w:p w:rsidR="00155C84" w:rsidRPr="00155C84" w:rsidRDefault="00155C84" w:rsidP="00AF7389">
                            <w:pPr>
                              <w:spacing w:line="440" w:lineRule="exact"/>
                              <w:jc w:val="left"/>
                              <w:rPr>
                                <w:sz w:val="22"/>
                              </w:rPr>
                            </w:pPr>
                            <w:r w:rsidRPr="00155C84">
                              <w:rPr>
                                <w:rFonts w:hint="eastAsia"/>
                                <w:sz w:val="22"/>
                              </w:rPr>
                              <w:t>（</w:t>
                            </w:r>
                            <w:r w:rsidRPr="00155C84">
                              <w:rPr>
                                <w:rFonts w:hint="eastAsia"/>
                                <w:sz w:val="22"/>
                              </w:rPr>
                              <w:t>新設合併消滅法人の最終事業年度の業務の実績等に関する評価等）</w:t>
                            </w:r>
                          </w:p>
                          <w:p w:rsidR="00766272" w:rsidRPr="00766272" w:rsidRDefault="00766272" w:rsidP="00AF7389">
                            <w:pPr>
                              <w:spacing w:line="440" w:lineRule="exact"/>
                              <w:ind w:left="220" w:hangingChars="100" w:hanging="220"/>
                              <w:jc w:val="left"/>
                              <w:rPr>
                                <w:sz w:val="22"/>
                              </w:rPr>
                            </w:pPr>
                            <w:r w:rsidRPr="00766272">
                              <w:rPr>
                                <w:rFonts w:hint="eastAsia"/>
                                <w:sz w:val="22"/>
                              </w:rPr>
                              <w:t>第百二十条　新設合併消滅法人の新設合併設立法人の成立の日の前日を含む事業年度（以下この条において「最終事業年度」という。）は、第三十二条第一項の規定にかかわらず、同日に終わるものとする。</w:t>
                            </w:r>
                          </w:p>
                          <w:p w:rsidR="00766272" w:rsidRPr="00766272" w:rsidRDefault="00766272" w:rsidP="00AF7389">
                            <w:pPr>
                              <w:spacing w:line="440" w:lineRule="exact"/>
                              <w:ind w:left="220" w:hangingChars="100" w:hanging="220"/>
                              <w:jc w:val="left"/>
                              <w:rPr>
                                <w:sz w:val="22"/>
                              </w:rPr>
                            </w:pPr>
                            <w:r w:rsidRPr="00766272">
                              <w:rPr>
                                <w:rFonts w:hint="eastAsia"/>
                                <w:sz w:val="22"/>
                              </w:rPr>
                              <w:t xml:space="preserve">２　</w:t>
                            </w:r>
                            <w:r w:rsidRPr="00766272">
                              <w:rPr>
                                <w:rFonts w:hint="eastAsia"/>
                                <w:sz w:val="22"/>
                                <w:u w:val="single"/>
                              </w:rPr>
                              <w:t>新設合併消滅法人</w:t>
                            </w:r>
                            <w:r w:rsidRPr="00766272">
                              <w:rPr>
                                <w:rFonts w:hint="eastAsia"/>
                                <w:sz w:val="22"/>
                              </w:rPr>
                              <w:t>（公立大学法人及び申請等関係事務処理法人を除く。以下この項において同じ。）の</w:t>
                            </w:r>
                            <w:r w:rsidRPr="00766272">
                              <w:rPr>
                                <w:rFonts w:hint="eastAsia"/>
                                <w:sz w:val="22"/>
                                <w:u w:val="single"/>
                              </w:rPr>
                              <w:t>業務の実績に関する</w:t>
                            </w:r>
                            <w:r w:rsidRPr="00766272">
                              <w:rPr>
                                <w:rFonts w:hint="eastAsia"/>
                                <w:sz w:val="22"/>
                              </w:rPr>
                              <w:t>第二十八条第一項の規定による</w:t>
                            </w:r>
                            <w:r w:rsidRPr="00766272">
                              <w:rPr>
                                <w:rFonts w:hint="eastAsia"/>
                                <w:sz w:val="22"/>
                                <w:u w:val="single"/>
                              </w:rPr>
                              <w:t>評価は</w:t>
                            </w:r>
                            <w:r w:rsidRPr="00766272">
                              <w:rPr>
                                <w:rFonts w:hint="eastAsia"/>
                                <w:sz w:val="22"/>
                              </w:rPr>
                              <w:t>、</w:t>
                            </w:r>
                            <w:r w:rsidRPr="00766272">
                              <w:rPr>
                                <w:rFonts w:hint="eastAsia"/>
                                <w:sz w:val="22"/>
                                <w:u w:val="single"/>
                              </w:rPr>
                              <w:t>当該新設合併消滅法人の効力発生日の前日を含む中期目標の期間が同日において終了したものとして</w:t>
                            </w:r>
                            <w:r w:rsidRPr="00766272">
                              <w:rPr>
                                <w:rFonts w:hint="eastAsia"/>
                                <w:sz w:val="22"/>
                              </w:rPr>
                              <w:t>、同項第三号に定める事項について、</w:t>
                            </w:r>
                            <w:r w:rsidRPr="00766272">
                              <w:rPr>
                                <w:rFonts w:hint="eastAsia"/>
                                <w:sz w:val="22"/>
                                <w:u w:val="single"/>
                              </w:rPr>
                              <w:t>新設合併設立法人が受けるものとする</w:t>
                            </w:r>
                            <w:r w:rsidRPr="00766272">
                              <w:rPr>
                                <w:rFonts w:hint="eastAsia"/>
                                <w:sz w:val="22"/>
                              </w:rPr>
                              <w:t>。この場合において、同条第二項の規定による</w:t>
                            </w:r>
                            <w:r w:rsidRPr="00766272">
                              <w:rPr>
                                <w:rFonts w:hint="eastAsia"/>
                                <w:sz w:val="22"/>
                                <w:u w:val="single"/>
                              </w:rPr>
                              <w:t>報告書の提出及び公表は、当該新設合併設立法人が行うものとする</w:t>
                            </w:r>
                            <w:r w:rsidRPr="00766272">
                              <w:rPr>
                                <w:rFonts w:hint="eastAsia"/>
                                <w:sz w:val="22"/>
                              </w:rPr>
                              <w:t>。</w:t>
                            </w:r>
                          </w:p>
                          <w:p w:rsidR="00766272" w:rsidRPr="00766272" w:rsidRDefault="00766272" w:rsidP="00AF7389">
                            <w:pPr>
                              <w:spacing w:line="440" w:lineRule="exact"/>
                              <w:ind w:left="220" w:hangingChars="100" w:hanging="220"/>
                              <w:jc w:val="left"/>
                              <w:rPr>
                                <w:sz w:val="22"/>
                              </w:rPr>
                            </w:pPr>
                            <w:r w:rsidRPr="00766272">
                              <w:rPr>
                                <w:rFonts w:hint="eastAsia"/>
                                <w:sz w:val="22"/>
                              </w:rPr>
                              <w:t>３　前項の場合において、第二十八条第五項の規定による通知及び同条第六項の規定による命令は、当該新設合併設立法人に対してなされるものとする。</w:t>
                            </w:r>
                          </w:p>
                          <w:p w:rsidR="00766272" w:rsidRDefault="00766272" w:rsidP="00AF7389">
                            <w:pPr>
                              <w:spacing w:line="440" w:lineRule="exact"/>
                              <w:ind w:left="220" w:hangingChars="100" w:hanging="220"/>
                              <w:jc w:val="left"/>
                              <w:rPr>
                                <w:sz w:val="22"/>
                              </w:rPr>
                            </w:pPr>
                            <w:r w:rsidRPr="00766272">
                              <w:rPr>
                                <w:rFonts w:hint="eastAsia"/>
                                <w:sz w:val="22"/>
                              </w:rPr>
                              <w:t xml:space="preserve">４　</w:t>
                            </w:r>
                            <w:r w:rsidRPr="00766272">
                              <w:rPr>
                                <w:rFonts w:hint="eastAsia"/>
                                <w:sz w:val="22"/>
                                <w:u w:val="single"/>
                              </w:rPr>
                              <w:t>前二項の規定は、公立大学法人である新設合併消滅法人の業務の実績に関する第七十八条の二第一項の規定による評価について準用する</w:t>
                            </w:r>
                            <w:r w:rsidRPr="00766272">
                              <w:rPr>
                                <w:rFonts w:hint="eastAsia"/>
                                <w:sz w:val="22"/>
                              </w:rPr>
                              <w:t>。</w:t>
                            </w:r>
                          </w:p>
                          <w:p w:rsidR="00E26C42" w:rsidRDefault="00766272" w:rsidP="00AF7389">
                            <w:pPr>
                              <w:spacing w:line="440" w:lineRule="exact"/>
                              <w:jc w:val="left"/>
                              <w:rPr>
                                <w:sz w:val="22"/>
                              </w:rPr>
                            </w:pPr>
                            <w:r>
                              <w:rPr>
                                <w:rFonts w:hint="eastAsia"/>
                                <w:sz w:val="22"/>
                              </w:rPr>
                              <w:t>５</w:t>
                            </w:r>
                            <w:r w:rsidR="00155C84">
                              <w:rPr>
                                <w:rFonts w:hint="eastAsia"/>
                                <w:sz w:val="22"/>
                              </w:rPr>
                              <w:t>－</w:t>
                            </w:r>
                            <w:r w:rsidR="00155C84">
                              <w:rPr>
                                <w:rFonts w:hint="eastAsia"/>
                                <w:sz w:val="22"/>
                              </w:rPr>
                              <w:t>12</w:t>
                            </w:r>
                            <w:r w:rsidR="00E26C42">
                              <w:rPr>
                                <w:rFonts w:hint="eastAsia"/>
                                <w:sz w:val="22"/>
                              </w:rPr>
                              <w:t xml:space="preserve">　（略）</w:t>
                            </w:r>
                          </w:p>
                          <w:p w:rsidR="00766272" w:rsidRDefault="00766272" w:rsidP="00AF7389">
                            <w:pPr>
                              <w:spacing w:line="440" w:lineRule="exact"/>
                              <w:jc w:val="left"/>
                              <w:rPr>
                                <w:sz w:val="22"/>
                              </w:rPr>
                            </w:pPr>
                          </w:p>
                          <w:p w:rsidR="00766272" w:rsidRPr="00766272" w:rsidRDefault="00766272" w:rsidP="00AF7389">
                            <w:pPr>
                              <w:spacing w:line="440" w:lineRule="exact"/>
                              <w:jc w:val="left"/>
                              <w:rPr>
                                <w:sz w:val="22"/>
                              </w:rPr>
                            </w:pPr>
                            <w:r w:rsidRPr="00766272">
                              <w:rPr>
                                <w:rFonts w:hint="eastAsia"/>
                                <w:sz w:val="22"/>
                              </w:rPr>
                              <w:t>（各事業年度に係る業務の実績等に関する評価等の特例）</w:t>
                            </w:r>
                          </w:p>
                          <w:p w:rsidR="00766272" w:rsidRPr="00766272" w:rsidRDefault="00766272" w:rsidP="00AF7389">
                            <w:pPr>
                              <w:spacing w:line="440" w:lineRule="exact"/>
                              <w:ind w:left="220" w:hangingChars="100" w:hanging="220"/>
                              <w:jc w:val="left"/>
                              <w:rPr>
                                <w:sz w:val="22"/>
                              </w:rPr>
                            </w:pPr>
                            <w:r w:rsidRPr="00766272">
                              <w:rPr>
                                <w:rFonts w:hint="eastAsia"/>
                                <w:sz w:val="22"/>
                              </w:rPr>
                              <w:t xml:space="preserve">第七十八条の二　</w:t>
                            </w:r>
                            <w:r w:rsidRPr="00AF7389">
                              <w:rPr>
                                <w:rFonts w:hint="eastAsia"/>
                                <w:sz w:val="22"/>
                                <w:u w:val="single"/>
                              </w:rPr>
                              <w:t>公立大学法人は</w:t>
                            </w:r>
                            <w:r w:rsidRPr="00766272">
                              <w:rPr>
                                <w:rFonts w:hint="eastAsia"/>
                                <w:sz w:val="22"/>
                              </w:rPr>
                              <w:t>、毎事業年度の終了後、</w:t>
                            </w:r>
                            <w:r w:rsidRPr="00AF7389">
                              <w:rPr>
                                <w:rFonts w:hint="eastAsia"/>
                                <w:sz w:val="22"/>
                                <w:u w:val="single"/>
                              </w:rPr>
                              <w:t>当該事業年度が次の各号に掲げる事業年度のいずれに該当するかに応じ当該各号に定める事項について、評価委員会の評価を受けなければならない</w:t>
                            </w:r>
                            <w:r w:rsidRPr="00766272">
                              <w:rPr>
                                <w:rFonts w:hint="eastAsia"/>
                                <w:sz w:val="22"/>
                              </w:rPr>
                              <w:t>。この場合において、第二十八条から第三十条までの規定は、公立大学法人には、適用しない。</w:t>
                            </w:r>
                          </w:p>
                          <w:p w:rsidR="00766272" w:rsidRPr="00766272" w:rsidRDefault="00766272" w:rsidP="00AF7389">
                            <w:pPr>
                              <w:spacing w:line="440" w:lineRule="exact"/>
                              <w:jc w:val="left"/>
                              <w:rPr>
                                <w:sz w:val="22"/>
                              </w:rPr>
                            </w:pPr>
                            <w:r w:rsidRPr="00766272">
                              <w:rPr>
                                <w:rFonts w:hint="eastAsia"/>
                                <w:sz w:val="22"/>
                              </w:rPr>
                              <w:t>一　次号及び第三号に掲げる事業年度以外の事業年度　当該事業年度における業務の実績</w:t>
                            </w:r>
                          </w:p>
                          <w:p w:rsidR="00766272" w:rsidRPr="00766272" w:rsidRDefault="00766272" w:rsidP="00AF7389">
                            <w:pPr>
                              <w:spacing w:line="440" w:lineRule="exact"/>
                              <w:ind w:left="220" w:hangingChars="100" w:hanging="220"/>
                              <w:jc w:val="left"/>
                              <w:rPr>
                                <w:sz w:val="22"/>
                              </w:rPr>
                            </w:pPr>
                            <w:r w:rsidRPr="00766272">
                              <w:rPr>
                                <w:rFonts w:hint="eastAsia"/>
                                <w:sz w:val="22"/>
                              </w:rPr>
                              <w:t>二　中期目標の期間の最後の事業年度の前々事業年度　当該事業年度における業務の実績及び中期目標の期間の終了時に見込まれる中期目標の期間における業務の実績</w:t>
                            </w:r>
                          </w:p>
                          <w:p w:rsidR="00766272" w:rsidRPr="00766272" w:rsidRDefault="00766272" w:rsidP="00AF7389">
                            <w:pPr>
                              <w:spacing w:line="440" w:lineRule="exact"/>
                              <w:ind w:left="220" w:hangingChars="100" w:hanging="220"/>
                              <w:jc w:val="left"/>
                              <w:rPr>
                                <w:sz w:val="22"/>
                              </w:rPr>
                            </w:pPr>
                            <w:r w:rsidRPr="00766272">
                              <w:rPr>
                                <w:rFonts w:hint="eastAsia"/>
                                <w:sz w:val="22"/>
                              </w:rPr>
                              <w:t>三　中期目標の期間の最後の事業年度　当該事業年度における業務の実績及び中期目標の期間における業務の実績</w:t>
                            </w:r>
                          </w:p>
                          <w:p w:rsidR="00AF7389" w:rsidRDefault="00AF7389" w:rsidP="00AF7389">
                            <w:pPr>
                              <w:spacing w:line="440" w:lineRule="exact"/>
                              <w:jc w:val="left"/>
                              <w:rPr>
                                <w:sz w:val="22"/>
                              </w:rPr>
                            </w:pPr>
                            <w:r>
                              <w:rPr>
                                <w:rFonts w:hint="eastAsia"/>
                                <w:sz w:val="22"/>
                              </w:rPr>
                              <w:t>２－７　（略）</w:t>
                            </w:r>
                          </w:p>
                          <w:p w:rsidR="00766272" w:rsidRPr="00EE3FC0" w:rsidRDefault="00766272" w:rsidP="00766272">
                            <w:pPr>
                              <w:spacing w:line="276" w:lineRule="auto"/>
                              <w:jc w:val="left"/>
                              <w:rPr>
                                <w:sz w:val="22"/>
                              </w:rPr>
                            </w:pPr>
                          </w:p>
                          <w:p w:rsidR="005430A3" w:rsidRPr="00EE3FC0" w:rsidRDefault="005430A3" w:rsidP="00B20AB9">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ADB30" id="角丸四角形 6" o:spid="_x0000_s1028" style="position:absolute;left:0;text-align:left;margin-left:-7.9pt;margin-top:4.1pt;width:474pt;height:6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rgIAADEFAAAOAAAAZHJzL2Uyb0RvYy54bWysVM1OGzEQvlfqO1i+l82mIYGIDYpAqSoh&#10;QIWKs+O1s1vZHtd2sps+Rq/cuPQVuPRtitTH6Ni7BGh7qroH7/x75psZHx23WpGNcL4GU9B8b0CJ&#10;MBzK2qwK+vF68eaAEh+YKZkCIwq6FZ4ez16/OmrsVAyhAlUKRzCI8dPGFrQKwU6zzPNKaOb3wAqD&#10;SglOs4CsW2WlYw1G1yobDgbjrAFXWgdceI/S005JZym+lIKHCym9CEQVFHML6XTpXMYzmx2x6cox&#10;W9W8T4P9Qxaa1QYv3YU6ZYGRtav/CKVr7sCDDHscdAZS1lykGrCafPBbNVcVsyLVguB4u4PJ/7+w&#10;/Hxz6UhdFnRMiWEaW/Tz29cf9/cPt7dIPHy/I+MIUmP9FG2v7KXrOY9krLiVTsc/1kLaBOx2B6xo&#10;A+EoHA/yw4MB4s9RNzmYTPLJfoyaPblb58M7AZpEoqAO1qb8gO1LqLLNmQ8J3rJPkpWfKJFaYbM2&#10;TJHR23HqJQbsbZF6DBkdPai6XNRKJWbrT5Qj6FhQnKUSGkoU8wGFBV2kr8/uhZsypCnocH+UKmE4&#10;rVKxgEVpi/h5s6KEqRWuAQ8upf3C27vVcnfrYnI4HiVgMc8XZjHpU+arLruk6nNRJuYu0lAjHBG+&#10;2JWuD5EK7bJNrcyjR5Qsodxiex10c+8tX9QY/wxrvWQOscOW4PKGCzykAqwOeoqSCtyXv8mjPc4f&#10;ailpcHGw8s9r5gRC+N7gZB7mo1HctMSM9idDZNxzzfK5xqz1CWAbcnwmLE9ktA/qkZQO9A3u+Dze&#10;iipmON5dUMS9I09Ct874RnAxnycj3C3Lwpm5sjyGjrhFXK/bG+ZsP2EBh/McHlesn5tuJp9so6eB&#10;+TqArHeId6j28ONepjnu35C4+M/5ZPX00s1+AQAA//8DAFBLAwQUAAYACAAAACEALvm/B+EAAAAK&#10;AQAADwAAAGRycy9kb3ducmV2LnhtbEyPQU+DQBCF7yb+h82YeGuXolaKLI3ReNCkiaKJHqcwApWd&#10;Jey2UH+940lvb/Je3vsmW0+2UwcafOvYwGIegSIuXdVybeDt9WGWgPIBucLOMRk4kod1fnqSYVq5&#10;kV/oUIRaSQn7FA00IfSp1r5syKKfu55YvE83WAxyDrWuBhyl3HY6jqKlttiyLDTY011D5Vextwb8&#10;Jlotnx53H8/07XCckt2xeL835vxsur0BFWgKf2H4xRd0yIVp6/ZcedUZmC2uBD0YSGJQ4q8uYhFb&#10;CcaXyTXoPNP/X8h/AAAA//8DAFBLAQItABQABgAIAAAAIQC2gziS/gAAAOEBAAATAAAAAAAAAAAA&#10;AAAAAAAAAABbQ29udGVudF9UeXBlc10ueG1sUEsBAi0AFAAGAAgAAAAhADj9If/WAAAAlAEAAAsA&#10;AAAAAAAAAAAAAAAALwEAAF9yZWxzLy5yZWxzUEsBAi0AFAAGAAgAAAAhAH6D4NyuAgAAMQUAAA4A&#10;AAAAAAAAAAAAAAAALgIAAGRycy9lMm9Eb2MueG1sUEsBAi0AFAAGAAgAAAAhAC75vwfhAAAACgEA&#10;AA8AAAAAAAAAAAAAAAAACAUAAGRycy9kb3ducmV2LnhtbFBLBQYAAAAABAAEAPMAAAAWBgAAAAA=&#10;" fillcolor="window" strokecolor="#f79646" strokeweight="2pt">
                <v:textbox>
                  <w:txbxContent>
                    <w:p w:rsidR="00155C84" w:rsidRPr="00155C84" w:rsidRDefault="00155C84" w:rsidP="00AF7389">
                      <w:pPr>
                        <w:spacing w:line="440" w:lineRule="exact"/>
                        <w:jc w:val="left"/>
                        <w:rPr>
                          <w:sz w:val="22"/>
                        </w:rPr>
                      </w:pPr>
                      <w:r w:rsidRPr="00155C84">
                        <w:rPr>
                          <w:rFonts w:hint="eastAsia"/>
                          <w:sz w:val="22"/>
                        </w:rPr>
                        <w:t>（</w:t>
                      </w:r>
                      <w:r w:rsidRPr="00155C84">
                        <w:rPr>
                          <w:rFonts w:hint="eastAsia"/>
                          <w:sz w:val="22"/>
                        </w:rPr>
                        <w:t>新設合併消滅法人の最終事業年度の業務の実績等に関する評価等）</w:t>
                      </w:r>
                    </w:p>
                    <w:p w:rsidR="00766272" w:rsidRPr="00766272" w:rsidRDefault="00766272" w:rsidP="00AF7389">
                      <w:pPr>
                        <w:spacing w:line="440" w:lineRule="exact"/>
                        <w:ind w:left="220" w:hangingChars="100" w:hanging="220"/>
                        <w:jc w:val="left"/>
                        <w:rPr>
                          <w:sz w:val="22"/>
                        </w:rPr>
                      </w:pPr>
                      <w:r w:rsidRPr="00766272">
                        <w:rPr>
                          <w:rFonts w:hint="eastAsia"/>
                          <w:sz w:val="22"/>
                        </w:rPr>
                        <w:t>第百二十条　新設合併消滅法人の新設合併設立法人の成立の日の前日を含む事業年度（以下この条において「最終事業年度」という。）は、第三十二条第一項の規定にかかわらず、同日に終わるものとする。</w:t>
                      </w:r>
                    </w:p>
                    <w:p w:rsidR="00766272" w:rsidRPr="00766272" w:rsidRDefault="00766272" w:rsidP="00AF7389">
                      <w:pPr>
                        <w:spacing w:line="440" w:lineRule="exact"/>
                        <w:ind w:left="220" w:hangingChars="100" w:hanging="220"/>
                        <w:jc w:val="left"/>
                        <w:rPr>
                          <w:sz w:val="22"/>
                        </w:rPr>
                      </w:pPr>
                      <w:r w:rsidRPr="00766272">
                        <w:rPr>
                          <w:rFonts w:hint="eastAsia"/>
                          <w:sz w:val="22"/>
                        </w:rPr>
                        <w:t xml:space="preserve">２　</w:t>
                      </w:r>
                      <w:r w:rsidRPr="00766272">
                        <w:rPr>
                          <w:rFonts w:hint="eastAsia"/>
                          <w:sz w:val="22"/>
                          <w:u w:val="single"/>
                        </w:rPr>
                        <w:t>新設合併消滅法人</w:t>
                      </w:r>
                      <w:r w:rsidRPr="00766272">
                        <w:rPr>
                          <w:rFonts w:hint="eastAsia"/>
                          <w:sz w:val="22"/>
                        </w:rPr>
                        <w:t>（公立大学法人及び申請等関係事務処理法人を除く。以下この項において同じ。）の</w:t>
                      </w:r>
                      <w:r w:rsidRPr="00766272">
                        <w:rPr>
                          <w:rFonts w:hint="eastAsia"/>
                          <w:sz w:val="22"/>
                          <w:u w:val="single"/>
                        </w:rPr>
                        <w:t>業務の実績に関する</w:t>
                      </w:r>
                      <w:r w:rsidRPr="00766272">
                        <w:rPr>
                          <w:rFonts w:hint="eastAsia"/>
                          <w:sz w:val="22"/>
                        </w:rPr>
                        <w:t>第二十八条第一項の規定による</w:t>
                      </w:r>
                      <w:r w:rsidRPr="00766272">
                        <w:rPr>
                          <w:rFonts w:hint="eastAsia"/>
                          <w:sz w:val="22"/>
                          <w:u w:val="single"/>
                        </w:rPr>
                        <w:t>評価は</w:t>
                      </w:r>
                      <w:r w:rsidRPr="00766272">
                        <w:rPr>
                          <w:rFonts w:hint="eastAsia"/>
                          <w:sz w:val="22"/>
                        </w:rPr>
                        <w:t>、</w:t>
                      </w:r>
                      <w:r w:rsidRPr="00766272">
                        <w:rPr>
                          <w:rFonts w:hint="eastAsia"/>
                          <w:sz w:val="22"/>
                          <w:u w:val="single"/>
                        </w:rPr>
                        <w:t>当該新設合併消滅法人の効力発生日の前日を含む中期目標の期間が同日において終了したものとして</w:t>
                      </w:r>
                      <w:r w:rsidRPr="00766272">
                        <w:rPr>
                          <w:rFonts w:hint="eastAsia"/>
                          <w:sz w:val="22"/>
                        </w:rPr>
                        <w:t>、同項第三号に定める事項について、</w:t>
                      </w:r>
                      <w:r w:rsidRPr="00766272">
                        <w:rPr>
                          <w:rFonts w:hint="eastAsia"/>
                          <w:sz w:val="22"/>
                          <w:u w:val="single"/>
                        </w:rPr>
                        <w:t>新設合併設立法人が受けるものとする</w:t>
                      </w:r>
                      <w:r w:rsidRPr="00766272">
                        <w:rPr>
                          <w:rFonts w:hint="eastAsia"/>
                          <w:sz w:val="22"/>
                        </w:rPr>
                        <w:t>。この場合において、同条第二項の規定による</w:t>
                      </w:r>
                      <w:r w:rsidRPr="00766272">
                        <w:rPr>
                          <w:rFonts w:hint="eastAsia"/>
                          <w:sz w:val="22"/>
                          <w:u w:val="single"/>
                        </w:rPr>
                        <w:t>報告書の提出及び公表は、当該新設合併設立法人が行うものとする</w:t>
                      </w:r>
                      <w:r w:rsidRPr="00766272">
                        <w:rPr>
                          <w:rFonts w:hint="eastAsia"/>
                          <w:sz w:val="22"/>
                        </w:rPr>
                        <w:t>。</w:t>
                      </w:r>
                    </w:p>
                    <w:p w:rsidR="00766272" w:rsidRPr="00766272" w:rsidRDefault="00766272" w:rsidP="00AF7389">
                      <w:pPr>
                        <w:spacing w:line="440" w:lineRule="exact"/>
                        <w:ind w:left="220" w:hangingChars="100" w:hanging="220"/>
                        <w:jc w:val="left"/>
                        <w:rPr>
                          <w:sz w:val="22"/>
                        </w:rPr>
                      </w:pPr>
                      <w:r w:rsidRPr="00766272">
                        <w:rPr>
                          <w:rFonts w:hint="eastAsia"/>
                          <w:sz w:val="22"/>
                        </w:rPr>
                        <w:t>３　前項の場合において、第二十八条第五項の規定による通知及び同条第六項の規定による命令は、当該新設合併設立法人に対してなされるものとする。</w:t>
                      </w:r>
                    </w:p>
                    <w:p w:rsidR="00766272" w:rsidRDefault="00766272" w:rsidP="00AF7389">
                      <w:pPr>
                        <w:spacing w:line="440" w:lineRule="exact"/>
                        <w:ind w:left="220" w:hangingChars="100" w:hanging="220"/>
                        <w:jc w:val="left"/>
                        <w:rPr>
                          <w:sz w:val="22"/>
                        </w:rPr>
                      </w:pPr>
                      <w:r w:rsidRPr="00766272">
                        <w:rPr>
                          <w:rFonts w:hint="eastAsia"/>
                          <w:sz w:val="22"/>
                        </w:rPr>
                        <w:t xml:space="preserve">４　</w:t>
                      </w:r>
                      <w:r w:rsidRPr="00766272">
                        <w:rPr>
                          <w:rFonts w:hint="eastAsia"/>
                          <w:sz w:val="22"/>
                          <w:u w:val="single"/>
                        </w:rPr>
                        <w:t>前二項の規定は、公立大学法人である新設合併消滅法人の業務の実績に関する第七十八条の二第一項の規定による評価について準用する</w:t>
                      </w:r>
                      <w:r w:rsidRPr="00766272">
                        <w:rPr>
                          <w:rFonts w:hint="eastAsia"/>
                          <w:sz w:val="22"/>
                        </w:rPr>
                        <w:t>。</w:t>
                      </w:r>
                    </w:p>
                    <w:p w:rsidR="00E26C42" w:rsidRDefault="00766272" w:rsidP="00AF7389">
                      <w:pPr>
                        <w:spacing w:line="440" w:lineRule="exact"/>
                        <w:jc w:val="left"/>
                        <w:rPr>
                          <w:sz w:val="22"/>
                        </w:rPr>
                      </w:pPr>
                      <w:r>
                        <w:rPr>
                          <w:rFonts w:hint="eastAsia"/>
                          <w:sz w:val="22"/>
                        </w:rPr>
                        <w:t>５</w:t>
                      </w:r>
                      <w:r w:rsidR="00155C84">
                        <w:rPr>
                          <w:rFonts w:hint="eastAsia"/>
                          <w:sz w:val="22"/>
                        </w:rPr>
                        <w:t>－</w:t>
                      </w:r>
                      <w:r w:rsidR="00155C84">
                        <w:rPr>
                          <w:rFonts w:hint="eastAsia"/>
                          <w:sz w:val="22"/>
                        </w:rPr>
                        <w:t>12</w:t>
                      </w:r>
                      <w:r w:rsidR="00E26C42">
                        <w:rPr>
                          <w:rFonts w:hint="eastAsia"/>
                          <w:sz w:val="22"/>
                        </w:rPr>
                        <w:t xml:space="preserve">　（略）</w:t>
                      </w:r>
                    </w:p>
                    <w:p w:rsidR="00766272" w:rsidRDefault="00766272" w:rsidP="00AF7389">
                      <w:pPr>
                        <w:spacing w:line="440" w:lineRule="exact"/>
                        <w:jc w:val="left"/>
                        <w:rPr>
                          <w:sz w:val="22"/>
                        </w:rPr>
                      </w:pPr>
                    </w:p>
                    <w:p w:rsidR="00766272" w:rsidRPr="00766272" w:rsidRDefault="00766272" w:rsidP="00AF7389">
                      <w:pPr>
                        <w:spacing w:line="440" w:lineRule="exact"/>
                        <w:jc w:val="left"/>
                        <w:rPr>
                          <w:sz w:val="22"/>
                        </w:rPr>
                      </w:pPr>
                      <w:r w:rsidRPr="00766272">
                        <w:rPr>
                          <w:rFonts w:hint="eastAsia"/>
                          <w:sz w:val="22"/>
                        </w:rPr>
                        <w:t>（各事業年度に係る業務の実績等に関する評価等の特例）</w:t>
                      </w:r>
                    </w:p>
                    <w:p w:rsidR="00766272" w:rsidRPr="00766272" w:rsidRDefault="00766272" w:rsidP="00AF7389">
                      <w:pPr>
                        <w:spacing w:line="440" w:lineRule="exact"/>
                        <w:ind w:left="220" w:hangingChars="100" w:hanging="220"/>
                        <w:jc w:val="left"/>
                        <w:rPr>
                          <w:sz w:val="22"/>
                        </w:rPr>
                      </w:pPr>
                      <w:r w:rsidRPr="00766272">
                        <w:rPr>
                          <w:rFonts w:hint="eastAsia"/>
                          <w:sz w:val="22"/>
                        </w:rPr>
                        <w:t xml:space="preserve">第七十八条の二　</w:t>
                      </w:r>
                      <w:r w:rsidRPr="00AF7389">
                        <w:rPr>
                          <w:rFonts w:hint="eastAsia"/>
                          <w:sz w:val="22"/>
                          <w:u w:val="single"/>
                        </w:rPr>
                        <w:t>公立大学法人は</w:t>
                      </w:r>
                      <w:r w:rsidRPr="00766272">
                        <w:rPr>
                          <w:rFonts w:hint="eastAsia"/>
                          <w:sz w:val="22"/>
                        </w:rPr>
                        <w:t>、毎事業年度の終了後、</w:t>
                      </w:r>
                      <w:r w:rsidRPr="00AF7389">
                        <w:rPr>
                          <w:rFonts w:hint="eastAsia"/>
                          <w:sz w:val="22"/>
                          <w:u w:val="single"/>
                        </w:rPr>
                        <w:t>当該事業年度が次の各号に掲げる事業年度のいずれに該当するかに応じ当該各号に定める事項について、評価委員会の評価を受けなければならない</w:t>
                      </w:r>
                      <w:r w:rsidRPr="00766272">
                        <w:rPr>
                          <w:rFonts w:hint="eastAsia"/>
                          <w:sz w:val="22"/>
                        </w:rPr>
                        <w:t>。この場合において、第二十八条から第三十条までの規定は、公立大学法人には、適用しない。</w:t>
                      </w:r>
                    </w:p>
                    <w:p w:rsidR="00766272" w:rsidRPr="00766272" w:rsidRDefault="00766272" w:rsidP="00AF7389">
                      <w:pPr>
                        <w:spacing w:line="440" w:lineRule="exact"/>
                        <w:jc w:val="left"/>
                        <w:rPr>
                          <w:sz w:val="22"/>
                        </w:rPr>
                      </w:pPr>
                      <w:r w:rsidRPr="00766272">
                        <w:rPr>
                          <w:rFonts w:hint="eastAsia"/>
                          <w:sz w:val="22"/>
                        </w:rPr>
                        <w:t>一　次号及び第三号に掲げる事業年度以外の事業年度　当該事業年度における業務の実績</w:t>
                      </w:r>
                    </w:p>
                    <w:p w:rsidR="00766272" w:rsidRPr="00766272" w:rsidRDefault="00766272" w:rsidP="00AF7389">
                      <w:pPr>
                        <w:spacing w:line="440" w:lineRule="exact"/>
                        <w:ind w:left="220" w:hangingChars="100" w:hanging="220"/>
                        <w:jc w:val="left"/>
                        <w:rPr>
                          <w:sz w:val="22"/>
                        </w:rPr>
                      </w:pPr>
                      <w:r w:rsidRPr="00766272">
                        <w:rPr>
                          <w:rFonts w:hint="eastAsia"/>
                          <w:sz w:val="22"/>
                        </w:rPr>
                        <w:t>二　中期目標の期間の最後の事業年度の前々事業年度　当該事業年度における業務の実績及び中期目標の期間の終了時に見込まれる中期目標の期間における業務の実績</w:t>
                      </w:r>
                    </w:p>
                    <w:p w:rsidR="00766272" w:rsidRPr="00766272" w:rsidRDefault="00766272" w:rsidP="00AF7389">
                      <w:pPr>
                        <w:spacing w:line="440" w:lineRule="exact"/>
                        <w:ind w:left="220" w:hangingChars="100" w:hanging="220"/>
                        <w:jc w:val="left"/>
                        <w:rPr>
                          <w:sz w:val="22"/>
                        </w:rPr>
                      </w:pPr>
                      <w:r w:rsidRPr="00766272">
                        <w:rPr>
                          <w:rFonts w:hint="eastAsia"/>
                          <w:sz w:val="22"/>
                        </w:rPr>
                        <w:t>三　中期目標の期間の最後の事業年度　当該事業年度における業務の実績及び中期目標の期間における業務の実績</w:t>
                      </w:r>
                    </w:p>
                    <w:p w:rsidR="00AF7389" w:rsidRDefault="00AF7389" w:rsidP="00AF7389">
                      <w:pPr>
                        <w:spacing w:line="440" w:lineRule="exact"/>
                        <w:jc w:val="left"/>
                        <w:rPr>
                          <w:sz w:val="22"/>
                        </w:rPr>
                      </w:pPr>
                      <w:r>
                        <w:rPr>
                          <w:rFonts w:hint="eastAsia"/>
                          <w:sz w:val="22"/>
                        </w:rPr>
                        <w:t>２－７　（略）</w:t>
                      </w:r>
                    </w:p>
                    <w:p w:rsidR="00766272" w:rsidRPr="00EE3FC0" w:rsidRDefault="00766272" w:rsidP="00766272">
                      <w:pPr>
                        <w:spacing w:line="276" w:lineRule="auto"/>
                        <w:jc w:val="left"/>
                        <w:rPr>
                          <w:sz w:val="22"/>
                        </w:rPr>
                      </w:pPr>
                    </w:p>
                    <w:p w:rsidR="005430A3" w:rsidRPr="00EE3FC0" w:rsidRDefault="005430A3" w:rsidP="00B20AB9">
                      <w:pPr>
                        <w:jc w:val="left"/>
                        <w:rPr>
                          <w:sz w:val="22"/>
                        </w:rPr>
                      </w:pPr>
                    </w:p>
                  </w:txbxContent>
                </v:textbox>
              </v:roundrect>
            </w:pict>
          </mc:Fallback>
        </mc:AlternateContent>
      </w:r>
    </w:p>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4683E" w:rsidRDefault="0074683E" w:rsidP="00FB0248"/>
    <w:p w:rsidR="007F133A" w:rsidRDefault="007F133A" w:rsidP="0074683E">
      <w:pPr>
        <w:spacing w:line="360" w:lineRule="auto"/>
        <w:rPr>
          <w:rFonts w:asciiTheme="minorEastAsia" w:hAnsiTheme="minorEastAsia"/>
          <w:sz w:val="22"/>
        </w:rPr>
      </w:pPr>
    </w:p>
    <w:p w:rsidR="007F133A" w:rsidRDefault="007F133A" w:rsidP="0074683E">
      <w:pPr>
        <w:spacing w:line="360" w:lineRule="auto"/>
        <w:rPr>
          <w:rFonts w:asciiTheme="minorEastAsia" w:hAnsiTheme="minorEastAsia"/>
          <w:sz w:val="22"/>
        </w:rPr>
      </w:pPr>
    </w:p>
    <w:p w:rsidR="007F133A" w:rsidRDefault="007F133A" w:rsidP="0074683E">
      <w:pPr>
        <w:spacing w:line="360" w:lineRule="auto"/>
        <w:rPr>
          <w:rFonts w:asciiTheme="minorEastAsia" w:hAnsiTheme="minorEastAsia"/>
          <w:sz w:val="22"/>
        </w:rPr>
      </w:pPr>
    </w:p>
    <w:p w:rsidR="007F133A" w:rsidRDefault="007F133A" w:rsidP="0074683E">
      <w:pPr>
        <w:spacing w:line="360" w:lineRule="auto"/>
        <w:rPr>
          <w:rFonts w:asciiTheme="minorEastAsia" w:hAnsiTheme="minorEastAsia"/>
          <w:sz w:val="22"/>
        </w:rPr>
      </w:pPr>
    </w:p>
    <w:p w:rsidR="00F8693F" w:rsidRDefault="00F8693F" w:rsidP="00BA044C">
      <w:pPr>
        <w:ind w:left="284" w:firstLineChars="100" w:firstLine="210"/>
        <w:jc w:val="right"/>
        <w:rPr>
          <w:rFonts w:asciiTheme="minorEastAsia" w:hAnsiTheme="minorEastAsia"/>
        </w:rPr>
      </w:pPr>
    </w:p>
    <w:p w:rsidR="00BA044C" w:rsidRPr="0074683E" w:rsidRDefault="00BA044C" w:rsidP="00CA4362">
      <w:pPr>
        <w:widowControl/>
        <w:jc w:val="left"/>
        <w:rPr>
          <w:rFonts w:asciiTheme="minorEastAsia" w:hAnsiTheme="minorEastAsia"/>
        </w:rPr>
      </w:pPr>
    </w:p>
    <w:sectPr w:rsidR="00BA044C" w:rsidRPr="0074683E" w:rsidSect="00766272">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26" w:rsidRDefault="00D87826" w:rsidP="00D87826">
      <w:r>
        <w:separator/>
      </w:r>
    </w:p>
  </w:endnote>
  <w:endnote w:type="continuationSeparator" w:id="0">
    <w:p w:rsidR="00D87826" w:rsidRDefault="00D87826" w:rsidP="00D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26" w:rsidRDefault="00D87826" w:rsidP="00D87826">
      <w:r>
        <w:separator/>
      </w:r>
    </w:p>
  </w:footnote>
  <w:footnote w:type="continuationSeparator" w:id="0">
    <w:p w:rsidR="00D87826" w:rsidRDefault="00D87826" w:rsidP="00D8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80" w:rsidRPr="00A64C80" w:rsidRDefault="00A64C80" w:rsidP="00A64C80">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D00"/>
    <w:multiLevelType w:val="hybridMultilevel"/>
    <w:tmpl w:val="27F418FE"/>
    <w:lvl w:ilvl="0" w:tplc="D0AA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355BF"/>
    <w:multiLevelType w:val="hybridMultilevel"/>
    <w:tmpl w:val="53B0EA68"/>
    <w:lvl w:ilvl="0" w:tplc="CBF61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F218C5"/>
    <w:multiLevelType w:val="hybridMultilevel"/>
    <w:tmpl w:val="47C23166"/>
    <w:lvl w:ilvl="0" w:tplc="C0EA8A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7C3A7E"/>
    <w:multiLevelType w:val="hybridMultilevel"/>
    <w:tmpl w:val="2490FBB4"/>
    <w:lvl w:ilvl="0" w:tplc="91F006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CC"/>
    <w:rsid w:val="0001711B"/>
    <w:rsid w:val="00026149"/>
    <w:rsid w:val="00032986"/>
    <w:rsid w:val="00050039"/>
    <w:rsid w:val="000A7415"/>
    <w:rsid w:val="000D4796"/>
    <w:rsid w:val="001221CC"/>
    <w:rsid w:val="00133F16"/>
    <w:rsid w:val="00152397"/>
    <w:rsid w:val="00155C84"/>
    <w:rsid w:val="00167ED5"/>
    <w:rsid w:val="001A07A3"/>
    <w:rsid w:val="001D11BA"/>
    <w:rsid w:val="001E0655"/>
    <w:rsid w:val="0028690D"/>
    <w:rsid w:val="00297732"/>
    <w:rsid w:val="002A3775"/>
    <w:rsid w:val="002E7631"/>
    <w:rsid w:val="0030040B"/>
    <w:rsid w:val="0036090F"/>
    <w:rsid w:val="00363455"/>
    <w:rsid w:val="00372EF3"/>
    <w:rsid w:val="0038094A"/>
    <w:rsid w:val="003C34E0"/>
    <w:rsid w:val="003E052C"/>
    <w:rsid w:val="004078AB"/>
    <w:rsid w:val="00457FE8"/>
    <w:rsid w:val="004A1C44"/>
    <w:rsid w:val="004A53D5"/>
    <w:rsid w:val="004B201D"/>
    <w:rsid w:val="004B2E48"/>
    <w:rsid w:val="004E2786"/>
    <w:rsid w:val="004F781C"/>
    <w:rsid w:val="00527E24"/>
    <w:rsid w:val="005430A3"/>
    <w:rsid w:val="00554747"/>
    <w:rsid w:val="005837AC"/>
    <w:rsid w:val="005B4164"/>
    <w:rsid w:val="005D01C7"/>
    <w:rsid w:val="005F41DF"/>
    <w:rsid w:val="005F7BFE"/>
    <w:rsid w:val="005F7EFA"/>
    <w:rsid w:val="006247EF"/>
    <w:rsid w:val="00630CDD"/>
    <w:rsid w:val="00651257"/>
    <w:rsid w:val="00663CD3"/>
    <w:rsid w:val="00694BE2"/>
    <w:rsid w:val="006B11FB"/>
    <w:rsid w:val="006C354E"/>
    <w:rsid w:val="007234BE"/>
    <w:rsid w:val="00725D09"/>
    <w:rsid w:val="00732166"/>
    <w:rsid w:val="007361E1"/>
    <w:rsid w:val="00745347"/>
    <w:rsid w:val="00745CA2"/>
    <w:rsid w:val="0074683E"/>
    <w:rsid w:val="00766272"/>
    <w:rsid w:val="00770801"/>
    <w:rsid w:val="007753E2"/>
    <w:rsid w:val="0078667B"/>
    <w:rsid w:val="007F133A"/>
    <w:rsid w:val="007F55CE"/>
    <w:rsid w:val="007F62D0"/>
    <w:rsid w:val="0080516D"/>
    <w:rsid w:val="00820727"/>
    <w:rsid w:val="00844956"/>
    <w:rsid w:val="00853DB9"/>
    <w:rsid w:val="008862EF"/>
    <w:rsid w:val="00887359"/>
    <w:rsid w:val="008E6B75"/>
    <w:rsid w:val="00923556"/>
    <w:rsid w:val="0094139C"/>
    <w:rsid w:val="00952B35"/>
    <w:rsid w:val="009540F6"/>
    <w:rsid w:val="00976A14"/>
    <w:rsid w:val="00993162"/>
    <w:rsid w:val="009B7936"/>
    <w:rsid w:val="009C696D"/>
    <w:rsid w:val="009E6361"/>
    <w:rsid w:val="00A03823"/>
    <w:rsid w:val="00A05E99"/>
    <w:rsid w:val="00A34367"/>
    <w:rsid w:val="00A64C80"/>
    <w:rsid w:val="00A77317"/>
    <w:rsid w:val="00A953FA"/>
    <w:rsid w:val="00AA6FA4"/>
    <w:rsid w:val="00AF7389"/>
    <w:rsid w:val="00B05710"/>
    <w:rsid w:val="00B06FBA"/>
    <w:rsid w:val="00B07382"/>
    <w:rsid w:val="00B16FFF"/>
    <w:rsid w:val="00B20AB9"/>
    <w:rsid w:val="00B30EE1"/>
    <w:rsid w:val="00B45921"/>
    <w:rsid w:val="00B645F3"/>
    <w:rsid w:val="00B955FE"/>
    <w:rsid w:val="00BA044C"/>
    <w:rsid w:val="00BA4768"/>
    <w:rsid w:val="00BF579E"/>
    <w:rsid w:val="00C07C3A"/>
    <w:rsid w:val="00C20383"/>
    <w:rsid w:val="00C30C84"/>
    <w:rsid w:val="00C32D6F"/>
    <w:rsid w:val="00C61847"/>
    <w:rsid w:val="00C61B8E"/>
    <w:rsid w:val="00C73A78"/>
    <w:rsid w:val="00C81B10"/>
    <w:rsid w:val="00C87E9E"/>
    <w:rsid w:val="00C973B9"/>
    <w:rsid w:val="00C97E26"/>
    <w:rsid w:val="00CA0ADE"/>
    <w:rsid w:val="00CA0AED"/>
    <w:rsid w:val="00CA4362"/>
    <w:rsid w:val="00CB0179"/>
    <w:rsid w:val="00CC6583"/>
    <w:rsid w:val="00CD0BF9"/>
    <w:rsid w:val="00D46867"/>
    <w:rsid w:val="00D503F7"/>
    <w:rsid w:val="00D5448C"/>
    <w:rsid w:val="00D56E0B"/>
    <w:rsid w:val="00D87826"/>
    <w:rsid w:val="00D95D88"/>
    <w:rsid w:val="00DA7A06"/>
    <w:rsid w:val="00DD65F7"/>
    <w:rsid w:val="00DF70AF"/>
    <w:rsid w:val="00E12939"/>
    <w:rsid w:val="00E26C42"/>
    <w:rsid w:val="00E27D99"/>
    <w:rsid w:val="00E31D45"/>
    <w:rsid w:val="00E75C17"/>
    <w:rsid w:val="00EC35D6"/>
    <w:rsid w:val="00EE3FC0"/>
    <w:rsid w:val="00EE57DE"/>
    <w:rsid w:val="00F06767"/>
    <w:rsid w:val="00F1363A"/>
    <w:rsid w:val="00F14CB2"/>
    <w:rsid w:val="00F36605"/>
    <w:rsid w:val="00F63D27"/>
    <w:rsid w:val="00F854B5"/>
    <w:rsid w:val="00F8693F"/>
    <w:rsid w:val="00F91E33"/>
    <w:rsid w:val="00F92853"/>
    <w:rsid w:val="00FA4261"/>
    <w:rsid w:val="00FB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27145B"/>
  <w15:docId w15:val="{E3E96710-881F-49C2-A8BB-CCF7FF9C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7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4747"/>
    <w:rPr>
      <w:rFonts w:asciiTheme="majorHAnsi" w:eastAsiaTheme="majorEastAsia" w:hAnsiTheme="majorHAnsi" w:cstheme="majorBidi"/>
      <w:sz w:val="18"/>
      <w:szCs w:val="18"/>
    </w:rPr>
  </w:style>
  <w:style w:type="paragraph" w:styleId="a5">
    <w:name w:val="List Paragraph"/>
    <w:basedOn w:val="a"/>
    <w:uiPriority w:val="34"/>
    <w:qFormat/>
    <w:rsid w:val="005430A3"/>
    <w:pPr>
      <w:ind w:leftChars="400" w:left="840"/>
    </w:pPr>
  </w:style>
  <w:style w:type="paragraph" w:styleId="a6">
    <w:name w:val="header"/>
    <w:basedOn w:val="a"/>
    <w:link w:val="a7"/>
    <w:uiPriority w:val="99"/>
    <w:unhideWhenUsed/>
    <w:rsid w:val="00D87826"/>
    <w:pPr>
      <w:tabs>
        <w:tab w:val="center" w:pos="4252"/>
        <w:tab w:val="right" w:pos="8504"/>
      </w:tabs>
      <w:snapToGrid w:val="0"/>
    </w:pPr>
  </w:style>
  <w:style w:type="character" w:customStyle="1" w:styleId="a7">
    <w:name w:val="ヘッダー (文字)"/>
    <w:basedOn w:val="a0"/>
    <w:link w:val="a6"/>
    <w:uiPriority w:val="99"/>
    <w:rsid w:val="00D87826"/>
  </w:style>
  <w:style w:type="paragraph" w:styleId="a8">
    <w:name w:val="footer"/>
    <w:basedOn w:val="a"/>
    <w:link w:val="a9"/>
    <w:uiPriority w:val="99"/>
    <w:unhideWhenUsed/>
    <w:rsid w:val="00D87826"/>
    <w:pPr>
      <w:tabs>
        <w:tab w:val="center" w:pos="4252"/>
        <w:tab w:val="right" w:pos="8504"/>
      </w:tabs>
      <w:snapToGrid w:val="0"/>
    </w:pPr>
  </w:style>
  <w:style w:type="character" w:customStyle="1" w:styleId="a9">
    <w:name w:val="フッター (文字)"/>
    <w:basedOn w:val="a0"/>
    <w:link w:val="a8"/>
    <w:uiPriority w:val="99"/>
    <w:rsid w:val="00D87826"/>
  </w:style>
  <w:style w:type="table" w:styleId="aa">
    <w:name w:val="Table Grid"/>
    <w:basedOn w:val="a1"/>
    <w:uiPriority w:val="39"/>
    <w:rsid w:val="0003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5034">
      <w:bodyDiv w:val="1"/>
      <w:marLeft w:val="0"/>
      <w:marRight w:val="0"/>
      <w:marTop w:val="0"/>
      <w:marBottom w:val="0"/>
      <w:divBdr>
        <w:top w:val="none" w:sz="0" w:space="0" w:color="auto"/>
        <w:left w:val="none" w:sz="0" w:space="0" w:color="auto"/>
        <w:bottom w:val="none" w:sz="0" w:space="0" w:color="auto"/>
        <w:right w:val="none" w:sz="0" w:space="0" w:color="auto"/>
      </w:divBdr>
      <w:divsChild>
        <w:div w:id="1003438806">
          <w:marLeft w:val="240"/>
          <w:marRight w:val="0"/>
          <w:marTop w:val="0"/>
          <w:marBottom w:val="0"/>
          <w:divBdr>
            <w:top w:val="none" w:sz="0" w:space="0" w:color="auto"/>
            <w:left w:val="none" w:sz="0" w:space="0" w:color="auto"/>
            <w:bottom w:val="none" w:sz="0" w:space="0" w:color="auto"/>
            <w:right w:val="none" w:sz="0" w:space="0" w:color="auto"/>
          </w:divBdr>
        </w:div>
      </w:divsChild>
    </w:div>
    <w:div w:id="1710059492">
      <w:bodyDiv w:val="1"/>
      <w:marLeft w:val="0"/>
      <w:marRight w:val="0"/>
      <w:marTop w:val="0"/>
      <w:marBottom w:val="0"/>
      <w:divBdr>
        <w:top w:val="none" w:sz="0" w:space="0" w:color="auto"/>
        <w:left w:val="none" w:sz="0" w:space="0" w:color="auto"/>
        <w:bottom w:val="none" w:sz="0" w:space="0" w:color="auto"/>
        <w:right w:val="none" w:sz="0" w:space="0" w:color="auto"/>
      </w:divBdr>
      <w:divsChild>
        <w:div w:id="1190141166">
          <w:marLeft w:val="240"/>
          <w:marRight w:val="0"/>
          <w:marTop w:val="0"/>
          <w:marBottom w:val="0"/>
          <w:divBdr>
            <w:top w:val="none" w:sz="0" w:space="0" w:color="auto"/>
            <w:left w:val="none" w:sz="0" w:space="0" w:color="auto"/>
            <w:bottom w:val="none" w:sz="0" w:space="0" w:color="auto"/>
            <w:right w:val="none" w:sz="0" w:space="0" w:color="auto"/>
          </w:divBdr>
          <w:divsChild>
            <w:div w:id="607198573">
              <w:marLeft w:val="240"/>
              <w:marRight w:val="0"/>
              <w:marTop w:val="0"/>
              <w:marBottom w:val="0"/>
              <w:divBdr>
                <w:top w:val="none" w:sz="0" w:space="0" w:color="auto"/>
                <w:left w:val="none" w:sz="0" w:space="0" w:color="auto"/>
                <w:bottom w:val="none" w:sz="0" w:space="0" w:color="auto"/>
                <w:right w:val="none" w:sz="0" w:space="0" w:color="auto"/>
              </w:divBdr>
            </w:div>
            <w:div w:id="2036156096">
              <w:marLeft w:val="240"/>
              <w:marRight w:val="0"/>
              <w:marTop w:val="0"/>
              <w:marBottom w:val="0"/>
              <w:divBdr>
                <w:top w:val="none" w:sz="0" w:space="0" w:color="auto"/>
                <w:left w:val="none" w:sz="0" w:space="0" w:color="auto"/>
                <w:bottom w:val="none" w:sz="0" w:space="0" w:color="auto"/>
                <w:right w:val="none" w:sz="0" w:space="0" w:color="auto"/>
              </w:divBdr>
            </w:div>
          </w:divsChild>
        </w:div>
        <w:div w:id="1743868644">
          <w:marLeft w:val="240"/>
          <w:marRight w:val="0"/>
          <w:marTop w:val="0"/>
          <w:marBottom w:val="0"/>
          <w:divBdr>
            <w:top w:val="none" w:sz="0" w:space="0" w:color="auto"/>
            <w:left w:val="none" w:sz="0" w:space="0" w:color="auto"/>
            <w:bottom w:val="none" w:sz="0" w:space="0" w:color="auto"/>
            <w:right w:val="none" w:sz="0" w:space="0" w:color="auto"/>
          </w:divBdr>
        </w:div>
        <w:div w:id="217396863">
          <w:marLeft w:val="240"/>
          <w:marRight w:val="0"/>
          <w:marTop w:val="0"/>
          <w:marBottom w:val="0"/>
          <w:divBdr>
            <w:top w:val="none" w:sz="0" w:space="0" w:color="auto"/>
            <w:left w:val="none" w:sz="0" w:space="0" w:color="auto"/>
            <w:bottom w:val="none" w:sz="0" w:space="0" w:color="auto"/>
            <w:right w:val="none" w:sz="0" w:space="0" w:color="auto"/>
          </w:divBdr>
        </w:div>
        <w:div w:id="950479235">
          <w:marLeft w:val="240"/>
          <w:marRight w:val="0"/>
          <w:marTop w:val="0"/>
          <w:marBottom w:val="0"/>
          <w:divBdr>
            <w:top w:val="none" w:sz="0" w:space="0" w:color="auto"/>
            <w:left w:val="none" w:sz="0" w:space="0" w:color="auto"/>
            <w:bottom w:val="none" w:sz="0" w:space="0" w:color="auto"/>
            <w:right w:val="none" w:sz="0" w:space="0" w:color="auto"/>
          </w:divBdr>
        </w:div>
        <w:div w:id="572354724">
          <w:marLeft w:val="240"/>
          <w:marRight w:val="0"/>
          <w:marTop w:val="0"/>
          <w:marBottom w:val="0"/>
          <w:divBdr>
            <w:top w:val="none" w:sz="0" w:space="0" w:color="auto"/>
            <w:left w:val="none" w:sz="0" w:space="0" w:color="auto"/>
            <w:bottom w:val="none" w:sz="0" w:space="0" w:color="auto"/>
            <w:right w:val="none" w:sz="0" w:space="0" w:color="auto"/>
          </w:divBdr>
        </w:div>
      </w:divsChild>
    </w:div>
    <w:div w:id="1790314552">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240"/>
          <w:marRight w:val="0"/>
          <w:marTop w:val="0"/>
          <w:marBottom w:val="0"/>
          <w:divBdr>
            <w:top w:val="none" w:sz="0" w:space="0" w:color="auto"/>
            <w:left w:val="none" w:sz="0" w:space="0" w:color="auto"/>
            <w:bottom w:val="none" w:sz="0" w:space="0" w:color="auto"/>
            <w:right w:val="none" w:sz="0" w:space="0" w:color="auto"/>
          </w:divBdr>
        </w:div>
        <w:div w:id="65418827">
          <w:marLeft w:val="240"/>
          <w:marRight w:val="0"/>
          <w:marTop w:val="0"/>
          <w:marBottom w:val="0"/>
          <w:divBdr>
            <w:top w:val="none" w:sz="0" w:space="0" w:color="auto"/>
            <w:left w:val="none" w:sz="0" w:space="0" w:color="auto"/>
            <w:bottom w:val="none" w:sz="0" w:space="0" w:color="auto"/>
            <w:right w:val="none" w:sz="0" w:space="0" w:color="auto"/>
          </w:divBdr>
          <w:divsChild>
            <w:div w:id="1271814236">
              <w:marLeft w:val="240"/>
              <w:marRight w:val="0"/>
              <w:marTop w:val="0"/>
              <w:marBottom w:val="0"/>
              <w:divBdr>
                <w:top w:val="none" w:sz="0" w:space="0" w:color="auto"/>
                <w:left w:val="none" w:sz="0" w:space="0" w:color="auto"/>
                <w:bottom w:val="none" w:sz="0" w:space="0" w:color="auto"/>
                <w:right w:val="none" w:sz="0" w:space="0" w:color="auto"/>
              </w:divBdr>
            </w:div>
            <w:div w:id="1409108403">
              <w:marLeft w:val="240"/>
              <w:marRight w:val="0"/>
              <w:marTop w:val="0"/>
              <w:marBottom w:val="0"/>
              <w:divBdr>
                <w:top w:val="none" w:sz="0" w:space="0" w:color="auto"/>
                <w:left w:val="none" w:sz="0" w:space="0" w:color="auto"/>
                <w:bottom w:val="none" w:sz="0" w:space="0" w:color="auto"/>
                <w:right w:val="none" w:sz="0" w:space="0" w:color="auto"/>
              </w:divBdr>
            </w:div>
            <w:div w:id="32047637">
              <w:marLeft w:val="240"/>
              <w:marRight w:val="0"/>
              <w:marTop w:val="0"/>
              <w:marBottom w:val="0"/>
              <w:divBdr>
                <w:top w:val="none" w:sz="0" w:space="0" w:color="auto"/>
                <w:left w:val="none" w:sz="0" w:space="0" w:color="auto"/>
                <w:bottom w:val="none" w:sz="0" w:space="0" w:color="auto"/>
                <w:right w:val="none" w:sz="0" w:space="0" w:color="auto"/>
              </w:divBdr>
            </w:div>
            <w:div w:id="1798527614">
              <w:marLeft w:val="240"/>
              <w:marRight w:val="0"/>
              <w:marTop w:val="0"/>
              <w:marBottom w:val="0"/>
              <w:divBdr>
                <w:top w:val="none" w:sz="0" w:space="0" w:color="auto"/>
                <w:left w:val="none" w:sz="0" w:space="0" w:color="auto"/>
                <w:bottom w:val="none" w:sz="0" w:space="0" w:color="auto"/>
                <w:right w:val="none" w:sz="0" w:space="0" w:color="auto"/>
              </w:divBdr>
            </w:div>
            <w:div w:id="706173971">
              <w:marLeft w:val="240"/>
              <w:marRight w:val="0"/>
              <w:marTop w:val="0"/>
              <w:marBottom w:val="0"/>
              <w:divBdr>
                <w:top w:val="none" w:sz="0" w:space="0" w:color="auto"/>
                <w:left w:val="none" w:sz="0" w:space="0" w:color="auto"/>
                <w:bottom w:val="none" w:sz="0" w:space="0" w:color="auto"/>
                <w:right w:val="none" w:sz="0" w:space="0" w:color="auto"/>
              </w:divBdr>
            </w:div>
            <w:div w:id="1737976244">
              <w:marLeft w:val="240"/>
              <w:marRight w:val="0"/>
              <w:marTop w:val="0"/>
              <w:marBottom w:val="0"/>
              <w:divBdr>
                <w:top w:val="none" w:sz="0" w:space="0" w:color="auto"/>
                <w:left w:val="none" w:sz="0" w:space="0" w:color="auto"/>
                <w:bottom w:val="none" w:sz="0" w:space="0" w:color="auto"/>
                <w:right w:val="none" w:sz="0" w:space="0" w:color="auto"/>
              </w:divBdr>
            </w:div>
            <w:div w:id="1148208809">
              <w:marLeft w:val="240"/>
              <w:marRight w:val="0"/>
              <w:marTop w:val="0"/>
              <w:marBottom w:val="0"/>
              <w:divBdr>
                <w:top w:val="none" w:sz="0" w:space="0" w:color="auto"/>
                <w:left w:val="none" w:sz="0" w:space="0" w:color="auto"/>
                <w:bottom w:val="none" w:sz="0" w:space="0" w:color="auto"/>
                <w:right w:val="none" w:sz="0" w:space="0" w:color="auto"/>
              </w:divBdr>
            </w:div>
            <w:div w:id="1277445378">
              <w:marLeft w:val="240"/>
              <w:marRight w:val="0"/>
              <w:marTop w:val="0"/>
              <w:marBottom w:val="0"/>
              <w:divBdr>
                <w:top w:val="none" w:sz="0" w:space="0" w:color="auto"/>
                <w:left w:val="none" w:sz="0" w:space="0" w:color="auto"/>
                <w:bottom w:val="none" w:sz="0" w:space="0" w:color="auto"/>
                <w:right w:val="none" w:sz="0" w:space="0" w:color="auto"/>
              </w:divBdr>
            </w:div>
            <w:div w:id="1754811840">
              <w:marLeft w:val="240"/>
              <w:marRight w:val="0"/>
              <w:marTop w:val="0"/>
              <w:marBottom w:val="0"/>
              <w:divBdr>
                <w:top w:val="none" w:sz="0" w:space="0" w:color="auto"/>
                <w:left w:val="none" w:sz="0" w:space="0" w:color="auto"/>
                <w:bottom w:val="none" w:sz="0" w:space="0" w:color="auto"/>
                <w:right w:val="none" w:sz="0" w:space="0" w:color="auto"/>
              </w:divBdr>
            </w:div>
            <w:div w:id="1548490537">
              <w:marLeft w:val="240"/>
              <w:marRight w:val="0"/>
              <w:marTop w:val="0"/>
              <w:marBottom w:val="0"/>
              <w:divBdr>
                <w:top w:val="none" w:sz="0" w:space="0" w:color="auto"/>
                <w:left w:val="none" w:sz="0" w:space="0" w:color="auto"/>
                <w:bottom w:val="none" w:sz="0" w:space="0" w:color="auto"/>
                <w:right w:val="none" w:sz="0" w:space="0" w:color="auto"/>
              </w:divBdr>
            </w:div>
            <w:div w:id="258871898">
              <w:marLeft w:val="240"/>
              <w:marRight w:val="0"/>
              <w:marTop w:val="0"/>
              <w:marBottom w:val="0"/>
              <w:divBdr>
                <w:top w:val="none" w:sz="0" w:space="0" w:color="auto"/>
                <w:left w:val="none" w:sz="0" w:space="0" w:color="auto"/>
                <w:bottom w:val="none" w:sz="0" w:space="0" w:color="auto"/>
                <w:right w:val="none" w:sz="0" w:space="0" w:color="auto"/>
              </w:divBdr>
            </w:div>
          </w:divsChild>
        </w:div>
        <w:div w:id="1902472767">
          <w:marLeft w:val="240"/>
          <w:marRight w:val="0"/>
          <w:marTop w:val="0"/>
          <w:marBottom w:val="0"/>
          <w:divBdr>
            <w:top w:val="none" w:sz="0" w:space="0" w:color="auto"/>
            <w:left w:val="none" w:sz="0" w:space="0" w:color="auto"/>
            <w:bottom w:val="none" w:sz="0" w:space="0" w:color="auto"/>
            <w:right w:val="none" w:sz="0" w:space="0" w:color="auto"/>
          </w:divBdr>
        </w:div>
        <w:div w:id="283267715">
          <w:marLeft w:val="240"/>
          <w:marRight w:val="0"/>
          <w:marTop w:val="0"/>
          <w:marBottom w:val="0"/>
          <w:divBdr>
            <w:top w:val="none" w:sz="0" w:space="0" w:color="auto"/>
            <w:left w:val="none" w:sz="0" w:space="0" w:color="auto"/>
            <w:bottom w:val="none" w:sz="0" w:space="0" w:color="auto"/>
            <w:right w:val="none" w:sz="0" w:space="0" w:color="auto"/>
          </w:divBdr>
        </w:div>
        <w:div w:id="4550273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9AF8-C15C-47EB-8F58-6FD4E9EB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2019-07-04T12:42:00Z</cp:lastPrinted>
  <dcterms:created xsi:type="dcterms:W3CDTF">2017-07-05T00:35:00Z</dcterms:created>
  <dcterms:modified xsi:type="dcterms:W3CDTF">2019-07-04T12:43:00Z</dcterms:modified>
</cp:coreProperties>
</file>