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48346FEF">
                <wp:simplePos x="0" y="0"/>
                <wp:positionH relativeFrom="column">
                  <wp:posOffset>5042535</wp:posOffset>
                </wp:positionH>
                <wp:positionV relativeFrom="paragraph">
                  <wp:posOffset>168275</wp:posOffset>
                </wp:positionV>
                <wp:extent cx="134112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3E28E082" w:rsidR="00941E28" w:rsidRPr="003906AD" w:rsidRDefault="00694C59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</w:t>
                            </w:r>
                            <w:r w:rsidR="00443B3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97.05pt;margin-top:13.25pt;width:105.6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oy4SwIAAGEEAAAOAAAAZHJzL2Uyb0RvYy54bWysVM1uEzEQviPxDpbvdJPQn3TVTVVaipDK&#10;j1R4AMfrzVp4PWbsZLccEwnxELwC4szz7Isw9qYhKnBB7MHyZDzfzHzfTM7Ou8awlUKvwRZ8fDDi&#10;TFkJpbaLgr9/d/1kypkPwpbCgFUFv1Oen88ePzprXa4mUIMpFTICsT5vXcHrEFyeZV7WqhH+AJyy&#10;5KwAGxHIxEVWomgJvTHZZDQ6zlrA0iFI5T39ejU4+SzhV5WS4U1VeRWYKTjVFtKJ6ZzHM5udiXyB&#10;wtVabssQ/1BFI7SlpDuoKxEEW6L+DarREsFDFQ4kNBlUlZYq9UDdjEcPurmthVOpFyLHux1N/v/B&#10;ytert8h0WfBjzqxoSKJ+87lff+vXP/rNF9ZvvvabTb/+TjY7jnS1zucUdesoLnTPoCPZU+ve3YD8&#10;4JmFy1rYhbpAhLZWoqRyxzEy2wsdcHwEmbevoKS8YhkgAXUVNpFLYocROsl2t5NKdYHJmPLp4Xg8&#10;IZck3+Ho5GSatMxEfh/t0IcXChoWLwVHGoWELlY3PsRqRH7/JCbzYHR5rY1JBi7mlwbZStDYXKcv&#10;NfDgmbGsLfjp0eRoIOCvEKP0/Qmi0YHm3+im4NPdI5FH2p7bMk1nENoMdyrZ2C2PkbqBxNDNu60u&#10;cyjviFGEYc5pL+lSA37irKUZL7j/uBSoODMvLalycjg5PaKlSMZ0ekp04r5jvucQVhJQwWVAzgbj&#10;MgyLtHSoFzVlGubAwgUpWelEcpR8qGpbN81x4n67c3FR9u306tc/w+wnAAAA//8DAFBLAwQUAAYA&#10;CAAAACEAhSlBDt4AAAAKAQAADwAAAGRycy9kb3ducmV2LnhtbEyPy07DMBBF90j8gzVIbBC1G+gr&#10;ZFIhHmKJGpDYTmKTRMTjEDtN+HvcFSxH9+jeM9l+tp04msG3jhGWCwXCcOV0yzXC+9vz9RaED8Sa&#10;OscG4cd42OfnZxml2k18MMci1CKWsE8JoQmhT6X0VWMs+YXrDcfs0w2WQjyHWuqBplhuO5kotZaW&#10;Wo4LDfXmoTHVVzFahMdXb6dqTK64pGnrXr756VB8IF5ezPd3IIKZwx8MJ/2oDnl0Kt3I2osOYbO7&#10;XUYUIVmvQJwApVY3IEqEndqAzDP5/4X8FwAA//8DAFBLAQItABQABgAIAAAAIQC2gziS/gAAAOEB&#10;AAATAAAAAAAAAAAAAAAAAAAAAABbQ29udGVudF9UeXBlc10ueG1sUEsBAi0AFAAGAAgAAAAhADj9&#10;If/WAAAAlAEAAAsAAAAAAAAAAAAAAAAALwEAAF9yZWxzLy5yZWxzUEsBAi0AFAAGAAgAAAAhAPxm&#10;jLhLAgAAYQQAAA4AAAAAAAAAAAAAAAAALgIAAGRycy9lMm9Eb2MueG1sUEsBAi0AFAAGAAgAAAAh&#10;AIUpQQ7eAAAACgEAAA8AAAAAAAAAAAAAAAAApQQAAGRycy9kb3ducmV2LnhtbFBLBQYAAAAABAAE&#10;APMAAACwBQAAAAA=&#10;">
                <v:textbox inset="5.85pt,.7pt,5.85pt,.7pt">
                  <w:txbxContent>
                    <w:p w14:paraId="4C097ABE" w14:textId="3E28E082" w:rsidR="00941E28" w:rsidRPr="003906AD" w:rsidRDefault="00694C59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</w:t>
                      </w:r>
                      <w:r w:rsidR="00443B3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3F0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AA42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DCE5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2C03F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42C0E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8EA3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14305202" w:rsidR="004A6511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1CC6E10F" w14:textId="14B4B71F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73E1DC5A" w14:textId="3ACF5C76" w:rsidR="00326379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401AE6C5" w14:textId="77777777" w:rsidR="00326379" w:rsidRPr="00FC4914" w:rsidRDefault="00326379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DA392F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①</w:t>
      </w:r>
      <w:r w:rsidR="003A2F7A" w:rsidRPr="00DA392F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A214410" w14:textId="4E088FFF" w:rsidR="00826938" w:rsidRPr="00DA392F" w:rsidRDefault="004E632F" w:rsidP="0032637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37552EE7" w14:textId="70D7933F" w:rsidR="00402BB4" w:rsidRPr="00DA392F" w:rsidRDefault="000B6603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3A2F7A" w:rsidRPr="00DA392F">
        <w:rPr>
          <w:rFonts w:ascii="ＭＳ Ｐ明朝" w:eastAsia="ＭＳ Ｐ明朝" w:hAnsi="ＭＳ Ｐ明朝" w:hint="eastAsia"/>
          <w:szCs w:val="21"/>
        </w:rPr>
        <w:t>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="003A2F7A" w:rsidRPr="00DA392F">
        <w:rPr>
          <w:rFonts w:ascii="ＭＳ Ｐ明朝" w:eastAsia="ＭＳ Ｐ明朝" w:hAnsi="ＭＳ Ｐ明朝" w:hint="eastAsia"/>
          <w:szCs w:val="21"/>
        </w:rPr>
        <w:t>とし、有効サンプル数</w:t>
      </w:r>
      <w:r w:rsidRPr="00DA392F">
        <w:rPr>
          <w:rFonts w:ascii="ＭＳ Ｐ明朝" w:eastAsia="ＭＳ Ｐ明朝" w:hAnsi="ＭＳ Ｐ明朝" w:hint="eastAsia"/>
          <w:szCs w:val="21"/>
        </w:rPr>
        <w:t>は、</w:t>
      </w:r>
      <w:r w:rsidR="003A2F7A" w:rsidRPr="00DA392F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6F82A4C0" w14:textId="191E2F1A" w:rsidR="000B6603" w:rsidRPr="00DA392F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②</w:t>
      </w:r>
      <w:r w:rsidR="003A2F7A" w:rsidRPr="00DA392F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53CD16A9" w14:textId="7CA2D46E" w:rsidR="004E12AC" w:rsidRPr="00DA392F" w:rsidRDefault="000B6603" w:rsidP="0032637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72CB8" w:rsidRPr="00DA392F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DA392F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DA392F">
        <w:rPr>
          <w:rFonts w:ascii="ＭＳ Ｐ明朝" w:eastAsia="ＭＳ Ｐ明朝" w:hAnsi="ＭＳ Ｐ明朝" w:hint="eastAsia"/>
          <w:szCs w:val="21"/>
        </w:rPr>
        <w:t>通じて実施。</w:t>
      </w:r>
    </w:p>
    <w:p w14:paraId="620C9354" w14:textId="408D1651" w:rsidR="00FA408F" w:rsidRPr="00DA392F" w:rsidRDefault="00E839AA" w:rsidP="00DA392F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・設問は１回あたり20問</w:t>
      </w:r>
      <w:r w:rsidR="00DA392F" w:rsidRPr="00DA392F">
        <w:rPr>
          <w:rFonts w:ascii="ＭＳ Ｐ明朝" w:eastAsia="ＭＳ Ｐ明朝" w:hAnsi="ＭＳ Ｐ明朝" w:hint="eastAsia"/>
          <w:szCs w:val="21"/>
        </w:rPr>
        <w:t>程度</w:t>
      </w:r>
      <w:r w:rsidRPr="00DA392F">
        <w:rPr>
          <w:rFonts w:ascii="ＭＳ Ｐ明朝" w:eastAsia="ＭＳ Ｐ明朝" w:hAnsi="ＭＳ Ｐ明朝" w:hint="eastAsia"/>
          <w:szCs w:val="21"/>
        </w:rPr>
        <w:t xml:space="preserve">とし、有効サンプル数は、１回あたり400件以上を基本とする。　</w:t>
      </w:r>
    </w:p>
    <w:p w14:paraId="374FBE30" w14:textId="094D015F" w:rsidR="00865EE0" w:rsidRDefault="0089389B" w:rsidP="0044728E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DA392F">
        <w:rPr>
          <w:rFonts w:ascii="ＭＳ Ｐ明朝" w:eastAsia="ＭＳ Ｐ明朝" w:hAnsi="ＭＳ Ｐ明朝" w:hint="eastAsia"/>
          <w:szCs w:val="21"/>
        </w:rPr>
        <w:t>・</w:t>
      </w:r>
      <w:r w:rsidR="00093D1E" w:rsidRPr="00DA392F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DA392F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5092DD6D" w14:textId="326D8275" w:rsidR="0044728E" w:rsidRPr="00F4740B" w:rsidRDefault="0044728E" w:rsidP="00F4740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③指定管理者の独自アンケート調査</w:t>
      </w:r>
      <w:r w:rsidR="00F4740B">
        <w:rPr>
          <w:rFonts w:ascii="ＭＳ Ｐ明朝" w:eastAsia="ＭＳ Ｐ明朝" w:hAnsi="ＭＳ Ｐ明朝" w:hint="eastAsia"/>
          <w:szCs w:val="21"/>
        </w:rPr>
        <w:t xml:space="preserve">　※実施があった場合に限る</w:t>
      </w:r>
    </w:p>
    <w:p w14:paraId="0816C250" w14:textId="77777777" w:rsidR="00F4740B" w:rsidRPr="0044728E" w:rsidRDefault="00F4740B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1273" w14:textId="77777777" w:rsidR="00C72F6D" w:rsidRDefault="00C72F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9F69" w14:textId="77777777" w:rsidR="00C72F6D" w:rsidRDefault="00C72F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CD33" w14:textId="77777777" w:rsidR="00C72F6D" w:rsidRDefault="00C72F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A3C5" w14:textId="77777777" w:rsidR="00C72F6D" w:rsidRDefault="00C72F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449EC" w14:textId="77777777" w:rsidR="00C72F6D" w:rsidRDefault="00C72F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C007" w14:textId="77777777" w:rsidR="00C72F6D" w:rsidRDefault="00C72F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26379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302EE"/>
    <w:rsid w:val="00443B3D"/>
    <w:rsid w:val="004454A5"/>
    <w:rsid w:val="0044728E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4C59"/>
    <w:rsid w:val="00697567"/>
    <w:rsid w:val="006B641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13975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2F6D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A392F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4740B"/>
    <w:rsid w:val="00F6471D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2023-07-03T04:30:00Z</dcterms:created>
  <dcterms:modified xsi:type="dcterms:W3CDTF">2023-08-10T06:11:00Z</dcterms:modified>
</cp:coreProperties>
</file>