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651"/>
        <w:tblW w:w="0" w:type="auto"/>
        <w:tblLook w:val="04A0" w:firstRow="1" w:lastRow="0" w:firstColumn="1" w:lastColumn="0" w:noHBand="0" w:noVBand="1"/>
      </w:tblPr>
      <w:tblGrid>
        <w:gridCol w:w="2943"/>
        <w:gridCol w:w="5670"/>
        <w:gridCol w:w="4820"/>
        <w:gridCol w:w="5403"/>
      </w:tblGrid>
      <w:tr w:rsidR="007476A2" w:rsidTr="0004550F">
        <w:trPr>
          <w:trHeight w:val="811"/>
        </w:trPr>
        <w:tc>
          <w:tcPr>
            <w:tcW w:w="2943" w:type="dxa"/>
            <w:tcBorders>
              <w:bottom w:val="single" w:sz="12" w:space="0" w:color="auto"/>
              <w:right w:val="single" w:sz="12" w:space="0" w:color="auto"/>
            </w:tcBorders>
          </w:tcPr>
          <w:p w:rsidR="007476A2" w:rsidRDefault="007476A2" w:rsidP="0004550F">
            <w:bookmarkStart w:id="0" w:name="_GoBack"/>
            <w:bookmarkEnd w:id="0"/>
            <w:r>
              <w:rPr>
                <w:rFonts w:hint="eastAsia"/>
              </w:rPr>
              <w:t>項目</w:t>
            </w:r>
          </w:p>
        </w:tc>
        <w:tc>
          <w:tcPr>
            <w:tcW w:w="5670" w:type="dxa"/>
            <w:tcBorders>
              <w:left w:val="single" w:sz="12" w:space="0" w:color="auto"/>
              <w:bottom w:val="single" w:sz="12" w:space="0" w:color="auto"/>
            </w:tcBorders>
          </w:tcPr>
          <w:p w:rsidR="007476A2" w:rsidRDefault="007476A2" w:rsidP="0004550F">
            <w:r>
              <w:rPr>
                <w:rFonts w:hint="eastAsia"/>
              </w:rPr>
              <w:t>委員意見</w:t>
            </w:r>
          </w:p>
        </w:tc>
        <w:tc>
          <w:tcPr>
            <w:tcW w:w="4820" w:type="dxa"/>
            <w:tcBorders>
              <w:bottom w:val="single" w:sz="12" w:space="0" w:color="auto"/>
            </w:tcBorders>
          </w:tcPr>
          <w:p w:rsidR="007476A2" w:rsidRDefault="007476A2" w:rsidP="0004550F">
            <w:r>
              <w:rPr>
                <w:rFonts w:hint="eastAsia"/>
              </w:rPr>
              <w:t>委員意見に対する</w:t>
            </w:r>
            <w:r w:rsidR="00623A51">
              <w:rPr>
                <w:rFonts w:hint="eastAsia"/>
              </w:rPr>
              <w:t>事務局</w:t>
            </w:r>
            <w:r>
              <w:rPr>
                <w:rFonts w:hint="eastAsia"/>
              </w:rPr>
              <w:t>見解</w:t>
            </w:r>
          </w:p>
        </w:tc>
        <w:tc>
          <w:tcPr>
            <w:tcW w:w="5403" w:type="dxa"/>
            <w:tcBorders>
              <w:bottom w:val="single" w:sz="12" w:space="0" w:color="auto"/>
            </w:tcBorders>
          </w:tcPr>
          <w:p w:rsidR="007476A2" w:rsidRDefault="007476A2" w:rsidP="0004550F">
            <w:r>
              <w:rPr>
                <w:rFonts w:hint="eastAsia"/>
              </w:rPr>
              <w:t>方向性</w:t>
            </w:r>
          </w:p>
        </w:tc>
      </w:tr>
      <w:tr w:rsidR="007476A2" w:rsidTr="0004550F">
        <w:trPr>
          <w:trHeight w:val="1984"/>
        </w:trPr>
        <w:tc>
          <w:tcPr>
            <w:tcW w:w="2943" w:type="dxa"/>
            <w:tcBorders>
              <w:top w:val="single" w:sz="12" w:space="0" w:color="auto"/>
              <w:right w:val="single" w:sz="12" w:space="0" w:color="auto"/>
            </w:tcBorders>
          </w:tcPr>
          <w:p w:rsidR="007476A2" w:rsidRDefault="004C12ED" w:rsidP="0004550F">
            <w:r>
              <w:rPr>
                <w:rFonts w:hint="eastAsia"/>
              </w:rPr>
              <w:t>１．</w:t>
            </w:r>
            <w:r w:rsidR="007476A2">
              <w:rPr>
                <w:rFonts w:hint="eastAsia"/>
              </w:rPr>
              <w:t>規制対象</w:t>
            </w:r>
          </w:p>
        </w:tc>
        <w:tc>
          <w:tcPr>
            <w:tcW w:w="5670" w:type="dxa"/>
            <w:tcBorders>
              <w:top w:val="single" w:sz="12" w:space="0" w:color="auto"/>
              <w:left w:val="single" w:sz="12" w:space="0" w:color="auto"/>
            </w:tcBorders>
          </w:tcPr>
          <w:p w:rsidR="007476A2" w:rsidRDefault="007476A2" w:rsidP="0004550F">
            <w:r>
              <w:rPr>
                <w:rFonts w:hint="eastAsia"/>
              </w:rPr>
              <w:t>・内照看板やその他の照明の看板も規制すべき</w:t>
            </w:r>
          </w:p>
          <w:p w:rsidR="007476A2" w:rsidRDefault="007476A2" w:rsidP="0004550F">
            <w:r>
              <w:rPr>
                <w:rFonts w:hint="eastAsia"/>
              </w:rPr>
              <w:t>・時間規制を考えるべきである</w:t>
            </w:r>
          </w:p>
          <w:p w:rsidR="007476A2" w:rsidRDefault="007476A2" w:rsidP="0004550F">
            <w:r>
              <w:rPr>
                <w:rFonts w:hint="eastAsia"/>
              </w:rPr>
              <w:t>・トータルに夜間景観をどうするのか、その議論が必要</w:t>
            </w:r>
          </w:p>
          <w:p w:rsidR="007476A2" w:rsidRPr="00E071F7" w:rsidRDefault="007476A2" w:rsidP="0004550F"/>
        </w:tc>
        <w:tc>
          <w:tcPr>
            <w:tcW w:w="4820" w:type="dxa"/>
            <w:tcBorders>
              <w:top w:val="single" w:sz="12" w:space="0" w:color="auto"/>
            </w:tcBorders>
          </w:tcPr>
          <w:p w:rsidR="007476A2" w:rsidRDefault="00B90108" w:rsidP="0004550F">
            <w:r>
              <w:rPr>
                <w:rFonts w:hint="eastAsia"/>
              </w:rPr>
              <w:t>・内照看板を規制するためには、色彩規制が必要になる。現時点で広域に府が一律に規制をかぶせる予定はない</w:t>
            </w:r>
          </w:p>
          <w:p w:rsidR="00B90108" w:rsidRPr="00B90108" w:rsidRDefault="00B90108" w:rsidP="0004550F">
            <w:r>
              <w:rPr>
                <w:rFonts w:hint="eastAsia"/>
              </w:rPr>
              <w:t>・時間規制は、</w:t>
            </w:r>
            <w:r w:rsidR="00215842">
              <w:rPr>
                <w:rFonts w:hint="eastAsia"/>
              </w:rPr>
              <w:t>主に</w:t>
            </w:r>
            <w:r>
              <w:rPr>
                <w:rFonts w:hint="eastAsia"/>
              </w:rPr>
              <w:t>面積で規制している広告物規制にはなじまない（夜間の定義も置いていない）</w:t>
            </w:r>
          </w:p>
        </w:tc>
        <w:tc>
          <w:tcPr>
            <w:tcW w:w="5403" w:type="dxa"/>
            <w:tcBorders>
              <w:top w:val="single" w:sz="12" w:space="0" w:color="auto"/>
            </w:tcBorders>
          </w:tcPr>
          <w:p w:rsidR="007476A2" w:rsidRDefault="00215842" w:rsidP="0004550F">
            <w:r>
              <w:rPr>
                <w:rFonts w:hint="eastAsia"/>
              </w:rPr>
              <w:t>・可変表示型屋外広告物（常時表示の内容を変えることができるもの及び点滅するもの）に今回は限定する</w:t>
            </w:r>
          </w:p>
        </w:tc>
      </w:tr>
      <w:tr w:rsidR="007476A2" w:rsidTr="0004550F">
        <w:trPr>
          <w:trHeight w:val="5516"/>
        </w:trPr>
        <w:tc>
          <w:tcPr>
            <w:tcW w:w="2943" w:type="dxa"/>
            <w:tcBorders>
              <w:right w:val="single" w:sz="12" w:space="0" w:color="auto"/>
            </w:tcBorders>
          </w:tcPr>
          <w:p w:rsidR="007476A2" w:rsidRDefault="004C12ED" w:rsidP="0004550F">
            <w:r>
              <w:rPr>
                <w:rFonts w:hint="eastAsia"/>
              </w:rPr>
              <w:t>２．</w:t>
            </w:r>
            <w:r w:rsidR="007476A2">
              <w:rPr>
                <w:rFonts w:hint="eastAsia"/>
              </w:rPr>
              <w:t>規制内容</w:t>
            </w:r>
          </w:p>
        </w:tc>
        <w:tc>
          <w:tcPr>
            <w:tcW w:w="5670" w:type="dxa"/>
            <w:tcBorders>
              <w:left w:val="single" w:sz="12" w:space="0" w:color="auto"/>
            </w:tcBorders>
          </w:tcPr>
          <w:p w:rsidR="007476A2" w:rsidRDefault="007476A2" w:rsidP="0004550F">
            <w:r>
              <w:rPr>
                <w:rFonts w:hint="eastAsia"/>
              </w:rPr>
              <w:t>・ＣＩＥが設定した基準は低すぎると思っていたが</w:t>
            </w:r>
            <w:r w:rsidR="00955DCA">
              <w:rPr>
                <w:rFonts w:hint="eastAsia"/>
              </w:rPr>
              <w:t>、実験結果をみると再考すべき。Ｅ２区域の</w:t>
            </w:r>
            <w:r w:rsidR="00623A51">
              <w:rPr>
                <w:rFonts w:hint="eastAsia"/>
              </w:rPr>
              <w:t>400</w:t>
            </w:r>
            <w:r w:rsidR="00623A51">
              <w:rPr>
                <w:rFonts w:hint="eastAsia"/>
              </w:rPr>
              <w:t>ｃｄ</w:t>
            </w:r>
            <w:r w:rsidR="00955DCA">
              <w:rPr>
                <w:rFonts w:hint="eastAsia"/>
              </w:rPr>
              <w:t>／㎡</w:t>
            </w:r>
            <w:r w:rsidR="00623A51">
              <w:rPr>
                <w:rFonts w:hint="eastAsia"/>
              </w:rPr>
              <w:t>が妥当か</w:t>
            </w:r>
          </w:p>
          <w:p w:rsidR="00955DCA" w:rsidRDefault="00955DCA" w:rsidP="0004550F">
            <w:r>
              <w:rPr>
                <w:rFonts w:hint="eastAsia"/>
              </w:rPr>
              <w:t>・正面と高い位置にあるのとでは違いがある。また、ＬＥＤの向いている面や距離によっても異なる</w:t>
            </w:r>
          </w:p>
          <w:p w:rsidR="00623A51" w:rsidRDefault="00623A51" w:rsidP="0004550F">
            <w:r>
              <w:rPr>
                <w:rFonts w:hint="eastAsia"/>
              </w:rPr>
              <w:t>・実際の現地での実態調査や実験評価を行うべきである</w:t>
            </w:r>
          </w:p>
          <w:p w:rsidR="00955DCA" w:rsidRDefault="00955DCA" w:rsidP="0004550F">
            <w:r>
              <w:rPr>
                <w:rFonts w:hint="eastAsia"/>
              </w:rPr>
              <w:t>・最初に誰もが不快と思うＮＧを決め、次第に基準化し夜間景観を誘導するという発想もある</w:t>
            </w:r>
          </w:p>
          <w:p w:rsidR="00955DCA" w:rsidRDefault="00955DCA" w:rsidP="0004550F">
            <w:r>
              <w:rPr>
                <w:rFonts w:hint="eastAsia"/>
              </w:rPr>
              <w:t>・広告主から言うと、内容・コンテンツが重要</w:t>
            </w:r>
          </w:p>
          <w:p w:rsidR="00955DCA" w:rsidRPr="00955DCA" w:rsidRDefault="00955DCA" w:rsidP="0004550F"/>
        </w:tc>
        <w:tc>
          <w:tcPr>
            <w:tcW w:w="4820" w:type="dxa"/>
          </w:tcPr>
          <w:p w:rsidR="00623A51" w:rsidRDefault="00623A51" w:rsidP="0004550F">
            <w:r>
              <w:rPr>
                <w:rFonts w:hint="eastAsia"/>
              </w:rPr>
              <w:t>・ＣＩＥが設定した基準は</w:t>
            </w:r>
            <w:r>
              <w:rPr>
                <w:rFonts w:hint="eastAsia"/>
              </w:rPr>
              <w:t>2003</w:t>
            </w:r>
            <w:r>
              <w:rPr>
                <w:rFonts w:hint="eastAsia"/>
              </w:rPr>
              <w:t>年に制定されており、照明器具にＬＥＤは想定されていないことを考慮すべき</w:t>
            </w:r>
          </w:p>
          <w:p w:rsidR="007476A2" w:rsidRDefault="00B90108" w:rsidP="0004550F">
            <w:r>
              <w:rPr>
                <w:rFonts w:hint="eastAsia"/>
              </w:rPr>
              <w:t>・現在行っている</w:t>
            </w:r>
            <w:r w:rsidR="00960B41">
              <w:rPr>
                <w:rFonts w:hint="eastAsia"/>
              </w:rPr>
              <w:t>感性評価研究の</w:t>
            </w:r>
            <w:r w:rsidR="00711FD1">
              <w:rPr>
                <w:rFonts w:hint="eastAsia"/>
              </w:rPr>
              <w:t>実験装置や条件等を考慮すると、実際に</w:t>
            </w:r>
            <w:r w:rsidR="00960B41">
              <w:rPr>
                <w:rFonts w:hint="eastAsia"/>
              </w:rPr>
              <w:t>現地で客観的な研究を行うことは困難である</w:t>
            </w:r>
          </w:p>
          <w:p w:rsidR="00960B41" w:rsidRDefault="00960B41" w:rsidP="0004550F">
            <w:r>
              <w:rPr>
                <w:rFonts w:hint="eastAsia"/>
              </w:rPr>
              <w:t>・現地の実態調査は、</w:t>
            </w:r>
            <w:r w:rsidR="00711FD1">
              <w:rPr>
                <w:rFonts w:hint="eastAsia"/>
              </w:rPr>
              <w:t>苦情のある</w:t>
            </w:r>
            <w:r>
              <w:rPr>
                <w:rFonts w:hint="eastAsia"/>
              </w:rPr>
              <w:t>住民へのアンケート調査などにより不快度を把握することになる。</w:t>
            </w:r>
            <w:r w:rsidR="00711FD1">
              <w:rPr>
                <w:rFonts w:hint="eastAsia"/>
              </w:rPr>
              <w:t>そのような区域を</w:t>
            </w:r>
            <w:r>
              <w:rPr>
                <w:rFonts w:hint="eastAsia"/>
              </w:rPr>
              <w:t>現実的に</w:t>
            </w:r>
            <w:r w:rsidR="00711FD1">
              <w:rPr>
                <w:rFonts w:hint="eastAsia"/>
              </w:rPr>
              <w:t>設定できる</w:t>
            </w:r>
            <w:r>
              <w:rPr>
                <w:rFonts w:hint="eastAsia"/>
              </w:rPr>
              <w:t>可能性はない</w:t>
            </w:r>
          </w:p>
          <w:p w:rsidR="00960B41" w:rsidRDefault="00960B41" w:rsidP="0004550F">
            <w:r>
              <w:rPr>
                <w:rFonts w:hint="eastAsia"/>
              </w:rPr>
              <w:t>・今回の規制は、誰もがＮＧを出すものとして、パチンコ店やスーパーの夜間の</w:t>
            </w:r>
            <w:r w:rsidR="00623A51">
              <w:rPr>
                <w:rFonts w:hint="eastAsia"/>
              </w:rPr>
              <w:t>ＬＥＤ照明等</w:t>
            </w:r>
            <w:r>
              <w:rPr>
                <w:rFonts w:hint="eastAsia"/>
              </w:rPr>
              <w:t>を想定した</w:t>
            </w:r>
          </w:p>
          <w:p w:rsidR="00960B41" w:rsidRPr="00960B41" w:rsidRDefault="00960B41" w:rsidP="0004550F">
            <w:r>
              <w:rPr>
                <w:rFonts w:hint="eastAsia"/>
              </w:rPr>
              <w:t>・広告の内容・コンテンツは</w:t>
            </w:r>
            <w:r w:rsidR="00623A51">
              <w:rPr>
                <w:rFonts w:hint="eastAsia"/>
              </w:rPr>
              <w:t>定性的であり、かつきめ細かな対応が必要であり、府が広域的に行う</w:t>
            </w:r>
            <w:r>
              <w:rPr>
                <w:rFonts w:hint="eastAsia"/>
              </w:rPr>
              <w:t>規制にはなじまない</w:t>
            </w:r>
          </w:p>
        </w:tc>
        <w:tc>
          <w:tcPr>
            <w:tcW w:w="5403" w:type="dxa"/>
          </w:tcPr>
          <w:p w:rsidR="004C12ED" w:rsidRDefault="004C12ED" w:rsidP="0004550F">
            <w:r>
              <w:rPr>
                <w:rFonts w:hint="eastAsia"/>
              </w:rPr>
              <w:t>・感性評価研究第二実験の結果も見て、仮置した数値を見直す</w:t>
            </w:r>
          </w:p>
          <w:p w:rsidR="004C12ED" w:rsidRPr="004C12ED" w:rsidRDefault="004C12ED" w:rsidP="0004550F">
            <w:r>
              <w:rPr>
                <w:rFonts w:hint="eastAsia"/>
              </w:rPr>
              <w:t>・住宅地における事例を改めて調査し、仮置した数値の有効性を検証する</w:t>
            </w:r>
          </w:p>
        </w:tc>
      </w:tr>
      <w:tr w:rsidR="007476A2" w:rsidTr="0004550F">
        <w:trPr>
          <w:trHeight w:val="2113"/>
        </w:trPr>
        <w:tc>
          <w:tcPr>
            <w:tcW w:w="2943" w:type="dxa"/>
            <w:tcBorders>
              <w:right w:val="single" w:sz="12" w:space="0" w:color="auto"/>
            </w:tcBorders>
          </w:tcPr>
          <w:p w:rsidR="007476A2" w:rsidRDefault="004C12ED" w:rsidP="0004550F">
            <w:r>
              <w:rPr>
                <w:rFonts w:hint="eastAsia"/>
              </w:rPr>
              <w:t>３．</w:t>
            </w:r>
            <w:r w:rsidR="007476A2">
              <w:rPr>
                <w:rFonts w:hint="eastAsia"/>
              </w:rPr>
              <w:t>規制区域</w:t>
            </w:r>
          </w:p>
        </w:tc>
        <w:tc>
          <w:tcPr>
            <w:tcW w:w="5670" w:type="dxa"/>
            <w:tcBorders>
              <w:left w:val="single" w:sz="12" w:space="0" w:color="auto"/>
            </w:tcBorders>
          </w:tcPr>
          <w:p w:rsidR="007476A2" w:rsidRDefault="007D71CC" w:rsidP="0004550F">
            <w:r>
              <w:rPr>
                <w:rFonts w:hint="eastAsia"/>
              </w:rPr>
              <w:t>・住宅系区域の夜間景観を守っていくという視点の再確認が必要</w:t>
            </w:r>
          </w:p>
          <w:p w:rsidR="007D71CC" w:rsidRDefault="007D71CC" w:rsidP="0004550F">
            <w:r>
              <w:rPr>
                <w:rFonts w:hint="eastAsia"/>
              </w:rPr>
              <w:t>・環境の規制は用途地域とはなじまないが、住居系の環境を守るという視点であれば理解できる</w:t>
            </w:r>
          </w:p>
          <w:p w:rsidR="007D71CC" w:rsidRPr="007D71CC" w:rsidRDefault="007D71CC" w:rsidP="00711FD1">
            <w:r>
              <w:rPr>
                <w:rFonts w:hint="eastAsia"/>
              </w:rPr>
              <w:t>・</w:t>
            </w:r>
            <w:r w:rsidR="00711FD1">
              <w:rPr>
                <w:rFonts w:hint="eastAsia"/>
              </w:rPr>
              <w:t>環境の規制では、通常</w:t>
            </w:r>
            <w:r>
              <w:rPr>
                <w:rFonts w:hint="eastAsia"/>
              </w:rPr>
              <w:t>用途地域で区切ることは</w:t>
            </w:r>
            <w:r w:rsidR="00711FD1">
              <w:rPr>
                <w:rFonts w:hint="eastAsia"/>
              </w:rPr>
              <w:t>行っていない</w:t>
            </w:r>
          </w:p>
        </w:tc>
        <w:tc>
          <w:tcPr>
            <w:tcW w:w="4820" w:type="dxa"/>
          </w:tcPr>
          <w:p w:rsidR="007476A2" w:rsidRDefault="00960B41" w:rsidP="0004550F">
            <w:r>
              <w:rPr>
                <w:rFonts w:hint="eastAsia"/>
              </w:rPr>
              <w:t>・大阪府</w:t>
            </w:r>
            <w:r w:rsidR="00623A51">
              <w:rPr>
                <w:rFonts w:hint="eastAsia"/>
              </w:rPr>
              <w:t>が</w:t>
            </w:r>
            <w:r>
              <w:rPr>
                <w:rFonts w:hint="eastAsia"/>
              </w:rPr>
              <w:t>広域的に</w:t>
            </w:r>
            <w:r w:rsidR="00623A51">
              <w:rPr>
                <w:rFonts w:hint="eastAsia"/>
              </w:rPr>
              <w:t>住居系の環境の保全という視点から規制する場合には</w:t>
            </w:r>
            <w:r w:rsidR="00F807BC">
              <w:rPr>
                <w:rFonts w:hint="eastAsia"/>
              </w:rPr>
              <w:t>、広域的に</w:t>
            </w:r>
            <w:r>
              <w:rPr>
                <w:rFonts w:hint="eastAsia"/>
              </w:rPr>
              <w:t>考え方を整理すべき。</w:t>
            </w:r>
          </w:p>
          <w:p w:rsidR="00215842" w:rsidRDefault="00215842" w:rsidP="0004550F">
            <w:r>
              <w:rPr>
                <w:rFonts w:hint="eastAsia"/>
              </w:rPr>
              <w:t>・屋外広告物規制は用途地域を基準に採用しており、整合性が図りやすい</w:t>
            </w:r>
          </w:p>
        </w:tc>
        <w:tc>
          <w:tcPr>
            <w:tcW w:w="5403" w:type="dxa"/>
          </w:tcPr>
          <w:p w:rsidR="007476A2" w:rsidRDefault="004C12ED" w:rsidP="0004550F">
            <w:r>
              <w:rPr>
                <w:rFonts w:hint="eastAsia"/>
              </w:rPr>
              <w:t>・住居系地域の夜間景観を守っていくという視点から住宅地における事例を改めて調査する</w:t>
            </w:r>
          </w:p>
        </w:tc>
      </w:tr>
      <w:tr w:rsidR="00215842" w:rsidTr="0004550F">
        <w:trPr>
          <w:trHeight w:val="2265"/>
        </w:trPr>
        <w:tc>
          <w:tcPr>
            <w:tcW w:w="2943" w:type="dxa"/>
            <w:tcBorders>
              <w:right w:val="single" w:sz="12" w:space="0" w:color="auto"/>
            </w:tcBorders>
          </w:tcPr>
          <w:p w:rsidR="00215842" w:rsidRDefault="004C12ED" w:rsidP="0004550F">
            <w:r>
              <w:rPr>
                <w:rFonts w:hint="eastAsia"/>
              </w:rPr>
              <w:t>４．</w:t>
            </w:r>
            <w:r w:rsidR="00215842">
              <w:rPr>
                <w:rFonts w:hint="eastAsia"/>
              </w:rPr>
              <w:t>規制手法</w:t>
            </w:r>
          </w:p>
        </w:tc>
        <w:tc>
          <w:tcPr>
            <w:tcW w:w="5670" w:type="dxa"/>
            <w:tcBorders>
              <w:left w:val="single" w:sz="12" w:space="0" w:color="auto"/>
            </w:tcBorders>
          </w:tcPr>
          <w:p w:rsidR="00215842" w:rsidRDefault="00215842" w:rsidP="0004550F">
            <w:r>
              <w:rPr>
                <w:rFonts w:hint="eastAsia"/>
              </w:rPr>
              <w:t>・条例により規制することにこだわらず、ガイドラインとか特定のエリア（例えば古墳群地区）でモデル的に規制するという考え方もある</w:t>
            </w:r>
          </w:p>
          <w:p w:rsidR="00215842" w:rsidRDefault="00215842" w:rsidP="0004550F">
            <w:r>
              <w:rPr>
                <w:rFonts w:hint="eastAsia"/>
              </w:rPr>
              <w:t>・許可窓口が適格に対応できるか疑問。調光も技術的に可能であるが、誰がチェックするのか</w:t>
            </w:r>
          </w:p>
          <w:p w:rsidR="00215842" w:rsidRDefault="00215842" w:rsidP="0004550F"/>
        </w:tc>
        <w:tc>
          <w:tcPr>
            <w:tcW w:w="4820" w:type="dxa"/>
          </w:tcPr>
          <w:p w:rsidR="00215842" w:rsidRDefault="00215842" w:rsidP="0004550F">
            <w:r>
              <w:rPr>
                <w:rFonts w:hint="eastAsia"/>
              </w:rPr>
              <w:t>・ガイドラインからスタートし、事例を積み上げて、条例化することは一つの考え方である</w:t>
            </w:r>
          </w:p>
          <w:p w:rsidR="00215842" w:rsidRDefault="00215842" w:rsidP="0004550F">
            <w:r>
              <w:rPr>
                <w:rFonts w:hint="eastAsia"/>
              </w:rPr>
              <w:t>・権限移譲を</w:t>
            </w:r>
            <w:r w:rsidR="00F807BC">
              <w:rPr>
                <w:rFonts w:hint="eastAsia"/>
              </w:rPr>
              <w:t>受けた</w:t>
            </w:r>
            <w:r>
              <w:rPr>
                <w:rFonts w:hint="eastAsia"/>
              </w:rPr>
              <w:t>市町村が窓口に</w:t>
            </w:r>
            <w:r w:rsidR="00F807BC">
              <w:rPr>
                <w:rFonts w:hint="eastAsia"/>
              </w:rPr>
              <w:t>なって</w:t>
            </w:r>
            <w:r>
              <w:rPr>
                <w:rFonts w:hint="eastAsia"/>
              </w:rPr>
              <w:t>適格にチェックできるのか</w:t>
            </w:r>
            <w:r w:rsidR="00F807BC">
              <w:rPr>
                <w:rFonts w:hint="eastAsia"/>
              </w:rPr>
              <w:t>は</w:t>
            </w:r>
            <w:r>
              <w:rPr>
                <w:rFonts w:hint="eastAsia"/>
              </w:rPr>
              <w:t>、課題である</w:t>
            </w:r>
          </w:p>
          <w:p w:rsidR="00215842" w:rsidRDefault="00F807BC" w:rsidP="0004550F">
            <w:pPr>
              <w:ind w:firstLineChars="100" w:firstLine="210"/>
            </w:pPr>
            <w:r>
              <w:rPr>
                <w:rFonts w:hint="eastAsia"/>
              </w:rPr>
              <w:t>また、</w:t>
            </w:r>
            <w:r w:rsidR="00215842">
              <w:rPr>
                <w:rFonts w:hint="eastAsia"/>
              </w:rPr>
              <w:t>業界と協力して証明書のような客観的な資料を申請段階で用意できるか</w:t>
            </w:r>
            <w:r w:rsidR="0004550F">
              <w:rPr>
                <w:rFonts w:hint="eastAsia"/>
              </w:rPr>
              <w:t>検討の余地あり</w:t>
            </w:r>
          </w:p>
        </w:tc>
        <w:tc>
          <w:tcPr>
            <w:tcW w:w="5403" w:type="dxa"/>
          </w:tcPr>
          <w:p w:rsidR="00215842" w:rsidRDefault="004C12ED" w:rsidP="0004550F">
            <w:r>
              <w:rPr>
                <w:rFonts w:hint="eastAsia"/>
              </w:rPr>
              <w:t>・項目１～３の検討結果を考慮して、条例化</w:t>
            </w:r>
            <w:r w:rsidR="0004550F">
              <w:rPr>
                <w:rFonts w:hint="eastAsia"/>
              </w:rPr>
              <w:t>（</w:t>
            </w:r>
            <w:r w:rsidR="00264ECF">
              <w:rPr>
                <w:rFonts w:hint="eastAsia"/>
              </w:rPr>
              <w:t>許可</w:t>
            </w:r>
            <w:r w:rsidR="0004550F">
              <w:rPr>
                <w:rFonts w:hint="eastAsia"/>
              </w:rPr>
              <w:t>・届出）</w:t>
            </w:r>
            <w:r>
              <w:rPr>
                <w:rFonts w:hint="eastAsia"/>
              </w:rPr>
              <w:t>するか</w:t>
            </w:r>
            <w:r w:rsidR="00264ECF">
              <w:rPr>
                <w:rFonts w:hint="eastAsia"/>
              </w:rPr>
              <w:t>、</w:t>
            </w:r>
            <w:r>
              <w:rPr>
                <w:rFonts w:hint="eastAsia"/>
              </w:rPr>
              <w:t>ガイドラインとするのか決定する</w:t>
            </w:r>
          </w:p>
          <w:p w:rsidR="004C12ED" w:rsidRDefault="004C12ED" w:rsidP="0004550F">
            <w:r>
              <w:rPr>
                <w:rFonts w:hint="eastAsia"/>
              </w:rPr>
              <w:t>・</w:t>
            </w:r>
            <w:r w:rsidR="0004550F">
              <w:rPr>
                <w:rFonts w:hint="eastAsia"/>
              </w:rPr>
              <w:t>窓口となる</w:t>
            </w:r>
            <w:r>
              <w:rPr>
                <w:rFonts w:hint="eastAsia"/>
              </w:rPr>
              <w:t>市町村には実施段階で研修</w:t>
            </w:r>
            <w:r w:rsidR="00E44C0A">
              <w:rPr>
                <w:rFonts w:hint="eastAsia"/>
              </w:rPr>
              <w:t>等</w:t>
            </w:r>
            <w:r>
              <w:rPr>
                <w:rFonts w:hint="eastAsia"/>
              </w:rPr>
              <w:t>を行う</w:t>
            </w:r>
          </w:p>
          <w:p w:rsidR="004C12ED" w:rsidRDefault="004C12ED" w:rsidP="0004550F">
            <w:r>
              <w:rPr>
                <w:rFonts w:hint="eastAsia"/>
              </w:rPr>
              <w:t>・業界と共同で、証明書等の可能性を検討する。また、調光等の監視体制についても検討する</w:t>
            </w:r>
          </w:p>
          <w:p w:rsidR="004C12ED" w:rsidRDefault="004C12ED" w:rsidP="0004550F"/>
        </w:tc>
      </w:tr>
    </w:tbl>
    <w:p w:rsidR="003D6A21" w:rsidRPr="00D6352B" w:rsidRDefault="003D6A21" w:rsidP="00264ECF">
      <w:pPr>
        <w:jc w:val="center"/>
        <w:rPr>
          <w:rFonts w:asciiTheme="majorEastAsia" w:eastAsiaTheme="majorEastAsia" w:hAnsiTheme="majorEastAsia"/>
          <w:b/>
          <w:sz w:val="24"/>
          <w:szCs w:val="24"/>
        </w:rPr>
      </w:pPr>
    </w:p>
    <w:sectPr w:rsidR="003D6A21" w:rsidRPr="00D6352B" w:rsidSect="00367DAB">
      <w:headerReference w:type="default" r:id="rId7"/>
      <w:pgSz w:w="23814" w:h="16840"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0D" w:rsidRDefault="002C1D0D" w:rsidP="00E44C0A">
      <w:r>
        <w:separator/>
      </w:r>
    </w:p>
  </w:endnote>
  <w:endnote w:type="continuationSeparator" w:id="0">
    <w:p w:rsidR="002C1D0D" w:rsidRDefault="002C1D0D" w:rsidP="00E4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0D" w:rsidRDefault="002C1D0D" w:rsidP="00E44C0A">
      <w:r>
        <w:separator/>
      </w:r>
    </w:p>
  </w:footnote>
  <w:footnote w:type="continuationSeparator" w:id="0">
    <w:p w:rsidR="002C1D0D" w:rsidRDefault="002C1D0D" w:rsidP="00E4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0A" w:rsidRPr="00D6352B" w:rsidRDefault="00E44C0A" w:rsidP="00E44C0A">
    <w:pPr>
      <w:jc w:val="center"/>
      <w:rPr>
        <w:rFonts w:asciiTheme="majorEastAsia" w:eastAsiaTheme="majorEastAsia" w:hAnsiTheme="majorEastAsia"/>
        <w:b/>
        <w:sz w:val="24"/>
        <w:szCs w:val="24"/>
      </w:rPr>
    </w:pPr>
    <w:r w:rsidRPr="00D6352B">
      <w:rPr>
        <w:rFonts w:asciiTheme="majorEastAsia" w:eastAsiaTheme="majorEastAsia" w:hAnsiTheme="majorEastAsia" w:hint="eastAsia"/>
        <w:b/>
        <w:sz w:val="24"/>
        <w:szCs w:val="24"/>
      </w:rPr>
      <w:t>ＬＥＤ等照明広告について　論点整理</w:t>
    </w:r>
  </w:p>
  <w:p w:rsidR="00E44C0A" w:rsidRPr="00E44C0A" w:rsidRDefault="00E44C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98"/>
    <w:rsid w:val="0004550F"/>
    <w:rsid w:val="000D1ABD"/>
    <w:rsid w:val="00215842"/>
    <w:rsid w:val="00264ECF"/>
    <w:rsid w:val="002C1D0D"/>
    <w:rsid w:val="00367DAB"/>
    <w:rsid w:val="003D6A21"/>
    <w:rsid w:val="004C12ED"/>
    <w:rsid w:val="005E0022"/>
    <w:rsid w:val="00616A98"/>
    <w:rsid w:val="00623A51"/>
    <w:rsid w:val="00711FD1"/>
    <w:rsid w:val="007476A2"/>
    <w:rsid w:val="0077020F"/>
    <w:rsid w:val="007D71CC"/>
    <w:rsid w:val="00955DCA"/>
    <w:rsid w:val="00960B41"/>
    <w:rsid w:val="00970F6B"/>
    <w:rsid w:val="0097352D"/>
    <w:rsid w:val="00AA7342"/>
    <w:rsid w:val="00B90108"/>
    <w:rsid w:val="00D6352B"/>
    <w:rsid w:val="00E071F7"/>
    <w:rsid w:val="00E44C0A"/>
    <w:rsid w:val="00F8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C0A"/>
    <w:pPr>
      <w:tabs>
        <w:tab w:val="center" w:pos="4252"/>
        <w:tab w:val="right" w:pos="8504"/>
      </w:tabs>
      <w:snapToGrid w:val="0"/>
    </w:pPr>
  </w:style>
  <w:style w:type="character" w:customStyle="1" w:styleId="a5">
    <w:name w:val="ヘッダー (文字)"/>
    <w:basedOn w:val="a0"/>
    <w:link w:val="a4"/>
    <w:uiPriority w:val="99"/>
    <w:rsid w:val="00E44C0A"/>
  </w:style>
  <w:style w:type="paragraph" w:styleId="a6">
    <w:name w:val="footer"/>
    <w:basedOn w:val="a"/>
    <w:link w:val="a7"/>
    <w:uiPriority w:val="99"/>
    <w:unhideWhenUsed/>
    <w:rsid w:val="00E44C0A"/>
    <w:pPr>
      <w:tabs>
        <w:tab w:val="center" w:pos="4252"/>
        <w:tab w:val="right" w:pos="8504"/>
      </w:tabs>
      <w:snapToGrid w:val="0"/>
    </w:pPr>
  </w:style>
  <w:style w:type="character" w:customStyle="1" w:styleId="a7">
    <w:name w:val="フッター (文字)"/>
    <w:basedOn w:val="a0"/>
    <w:link w:val="a6"/>
    <w:uiPriority w:val="99"/>
    <w:rsid w:val="00E44C0A"/>
  </w:style>
  <w:style w:type="paragraph" w:styleId="a8">
    <w:name w:val="Balloon Text"/>
    <w:basedOn w:val="a"/>
    <w:link w:val="a9"/>
    <w:uiPriority w:val="99"/>
    <w:semiHidden/>
    <w:unhideWhenUsed/>
    <w:rsid w:val="00E44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4C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C0A"/>
    <w:pPr>
      <w:tabs>
        <w:tab w:val="center" w:pos="4252"/>
        <w:tab w:val="right" w:pos="8504"/>
      </w:tabs>
      <w:snapToGrid w:val="0"/>
    </w:pPr>
  </w:style>
  <w:style w:type="character" w:customStyle="1" w:styleId="a5">
    <w:name w:val="ヘッダー (文字)"/>
    <w:basedOn w:val="a0"/>
    <w:link w:val="a4"/>
    <w:uiPriority w:val="99"/>
    <w:rsid w:val="00E44C0A"/>
  </w:style>
  <w:style w:type="paragraph" w:styleId="a6">
    <w:name w:val="footer"/>
    <w:basedOn w:val="a"/>
    <w:link w:val="a7"/>
    <w:uiPriority w:val="99"/>
    <w:unhideWhenUsed/>
    <w:rsid w:val="00E44C0A"/>
    <w:pPr>
      <w:tabs>
        <w:tab w:val="center" w:pos="4252"/>
        <w:tab w:val="right" w:pos="8504"/>
      </w:tabs>
      <w:snapToGrid w:val="0"/>
    </w:pPr>
  </w:style>
  <w:style w:type="character" w:customStyle="1" w:styleId="a7">
    <w:name w:val="フッター (文字)"/>
    <w:basedOn w:val="a0"/>
    <w:link w:val="a6"/>
    <w:uiPriority w:val="99"/>
    <w:rsid w:val="00E44C0A"/>
  </w:style>
  <w:style w:type="paragraph" w:styleId="a8">
    <w:name w:val="Balloon Text"/>
    <w:basedOn w:val="a"/>
    <w:link w:val="a9"/>
    <w:uiPriority w:val="99"/>
    <w:semiHidden/>
    <w:unhideWhenUsed/>
    <w:rsid w:val="00E44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4C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2015-07-17T09:19:00Z</dcterms:created>
  <dcterms:modified xsi:type="dcterms:W3CDTF">2015-07-17T09:19:00Z</dcterms:modified>
</cp:coreProperties>
</file>