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C5" w:rsidRPr="004376C5" w:rsidRDefault="004376C5" w:rsidP="00741C43">
      <w:pPr>
        <w:spacing w:line="4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4376C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04101" wp14:editId="55FA7C9C">
                <wp:simplePos x="0" y="0"/>
                <wp:positionH relativeFrom="column">
                  <wp:posOffset>4768215</wp:posOffset>
                </wp:positionH>
                <wp:positionV relativeFrom="paragraph">
                  <wp:posOffset>-310515</wp:posOffset>
                </wp:positionV>
                <wp:extent cx="1162050" cy="542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76C5" w:rsidRPr="00545338" w:rsidRDefault="004376C5" w:rsidP="004376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545338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資料</w:t>
                            </w:r>
                            <w:r w:rsidR="00FA214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5.45pt;margin-top:-24.45pt;width:91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" fillcolor="window" strokecolor="windowText" strokeweight="2pt">
                <v:stroke linestyle="thinThin"/>
                <v:textbox>
                  <w:txbxContent>
                    <w:p w:rsidR="004376C5" w:rsidRPr="00545338" w:rsidRDefault="004376C5" w:rsidP="004376C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545338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資料</w:t>
                      </w:r>
                      <w:r w:rsidR="00FA214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CE3DEE" w:rsidRPr="004476C7" w:rsidRDefault="006E5FB7" w:rsidP="00741C43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476C7">
        <w:rPr>
          <w:rFonts w:asciiTheme="majorEastAsia" w:eastAsiaTheme="majorEastAsia" w:hAnsiTheme="majorEastAsia" w:hint="eastAsia"/>
          <w:b/>
          <w:sz w:val="28"/>
          <w:szCs w:val="28"/>
        </w:rPr>
        <w:t>ＬＥＤ等照明</w:t>
      </w:r>
      <w:r w:rsidR="00732F31" w:rsidRPr="004476C7">
        <w:rPr>
          <w:rFonts w:asciiTheme="majorEastAsia" w:eastAsiaTheme="majorEastAsia" w:hAnsiTheme="majorEastAsia" w:hint="eastAsia"/>
          <w:b/>
          <w:sz w:val="28"/>
          <w:szCs w:val="28"/>
        </w:rPr>
        <w:t>広告</w:t>
      </w:r>
      <w:r w:rsidR="00DD235D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  <w:r w:rsidR="00675AA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6E5FB7" w:rsidRPr="00EA304A" w:rsidRDefault="006E5FB7" w:rsidP="00741C43">
      <w:pPr>
        <w:spacing w:line="400" w:lineRule="exact"/>
        <w:rPr>
          <w:sz w:val="24"/>
          <w:szCs w:val="24"/>
        </w:rPr>
      </w:pPr>
    </w:p>
    <w:p w:rsidR="006A1A15" w:rsidRPr="003D14AF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</w:t>
      </w:r>
      <w:r w:rsidR="006A1A15" w:rsidRPr="003D14A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．景観審議会（H25.12.5）での主な意見</w:t>
      </w:r>
    </w:p>
    <w:p w:rsidR="004B282B" w:rsidRDefault="006A1A15" w:rsidP="00741C43">
      <w:pPr>
        <w:spacing w:line="400" w:lineRule="exac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70DBB" wp14:editId="10D69747">
                <wp:simplePos x="0" y="0"/>
                <wp:positionH relativeFrom="column">
                  <wp:posOffset>76835</wp:posOffset>
                </wp:positionH>
                <wp:positionV relativeFrom="paragraph">
                  <wp:posOffset>105410</wp:posOffset>
                </wp:positionV>
                <wp:extent cx="5915025" cy="15430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543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6.05pt;margin-top:8.3pt;width:465.75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" filled="f" strokecolor="#243f60 [1604]" strokeweight="2pt"/>
            </w:pict>
          </mc:Fallback>
        </mc:AlternateContent>
      </w:r>
    </w:p>
    <w:p w:rsidR="004B282B" w:rsidRPr="004B282B" w:rsidRDefault="00406B77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輝度（まぶしさ）について検討すべき</w:t>
      </w:r>
      <w:r w:rsidR="00D03431" w:rsidRPr="004B282B">
        <w:rPr>
          <w:rFonts w:hint="eastAsia"/>
          <w:sz w:val="22"/>
        </w:rPr>
        <w:t>。</w:t>
      </w:r>
    </w:p>
    <w:p w:rsidR="004B282B" w:rsidRPr="004B282B" w:rsidRDefault="00406B77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地域を指定して規制誘導</w:t>
      </w:r>
      <w:r w:rsidR="00D03431" w:rsidRPr="004B282B">
        <w:rPr>
          <w:rFonts w:hint="eastAsia"/>
          <w:sz w:val="22"/>
        </w:rPr>
        <w:t>する必要がある</w:t>
      </w:r>
      <w:r w:rsidR="004B282B" w:rsidRPr="004B282B">
        <w:rPr>
          <w:rFonts w:hint="eastAsia"/>
          <w:sz w:val="22"/>
        </w:rPr>
        <w:t>。</w:t>
      </w:r>
      <w:r w:rsidR="003114CC" w:rsidRPr="004B282B">
        <w:rPr>
          <w:rFonts w:hint="eastAsia"/>
          <w:sz w:val="22"/>
        </w:rPr>
        <w:t>（住宅地と</w:t>
      </w:r>
      <w:r w:rsidR="003D14AF" w:rsidRPr="004B282B">
        <w:rPr>
          <w:rFonts w:hint="eastAsia"/>
          <w:sz w:val="22"/>
        </w:rPr>
        <w:t>異なり、</w:t>
      </w:r>
      <w:r w:rsidRPr="004B282B">
        <w:rPr>
          <w:rFonts w:hint="eastAsia"/>
          <w:sz w:val="22"/>
        </w:rPr>
        <w:t>商業地では賑やかさ</w:t>
      </w:r>
      <w:r w:rsidR="00D03431" w:rsidRPr="004B282B">
        <w:rPr>
          <w:rFonts w:hint="eastAsia"/>
          <w:sz w:val="22"/>
        </w:rPr>
        <w:t>も</w:t>
      </w:r>
      <w:r w:rsidRPr="004B282B">
        <w:rPr>
          <w:rFonts w:hint="eastAsia"/>
          <w:sz w:val="22"/>
        </w:rPr>
        <w:t>必要</w:t>
      </w:r>
      <w:r w:rsidR="004B282B">
        <w:rPr>
          <w:rFonts w:hint="eastAsia"/>
          <w:sz w:val="22"/>
        </w:rPr>
        <w:t>）</w:t>
      </w:r>
    </w:p>
    <w:p w:rsidR="00406B77" w:rsidRPr="004B282B" w:rsidRDefault="00D03431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地域</w:t>
      </w:r>
      <w:r w:rsidR="003114CC" w:rsidRPr="004B282B">
        <w:rPr>
          <w:rFonts w:hint="eastAsia"/>
          <w:sz w:val="22"/>
        </w:rPr>
        <w:t>の実情</w:t>
      </w:r>
      <w:r w:rsidRPr="004B282B">
        <w:rPr>
          <w:rFonts w:hint="eastAsia"/>
          <w:sz w:val="22"/>
        </w:rPr>
        <w:t>に応じて時間規制を検討してはどうか。</w:t>
      </w:r>
    </w:p>
    <w:p w:rsidR="003114CC" w:rsidRPr="004B282B" w:rsidRDefault="00D03431" w:rsidP="00741C43">
      <w:pPr>
        <w:pStyle w:val="a7"/>
        <w:numPr>
          <w:ilvl w:val="0"/>
          <w:numId w:val="4"/>
        </w:numPr>
        <w:spacing w:line="400" w:lineRule="exact"/>
        <w:ind w:leftChars="0"/>
        <w:rPr>
          <w:sz w:val="24"/>
          <w:szCs w:val="24"/>
        </w:rPr>
      </w:pPr>
      <w:r w:rsidRPr="004B282B">
        <w:rPr>
          <w:rFonts w:hint="eastAsia"/>
          <w:sz w:val="22"/>
        </w:rPr>
        <w:t>照明広告の分野を分けて</w:t>
      </w:r>
      <w:r w:rsidR="003114CC" w:rsidRPr="004B282B">
        <w:rPr>
          <w:rFonts w:hint="eastAsia"/>
          <w:sz w:val="22"/>
        </w:rPr>
        <w:t>基準を検討していく必要がある。</w:t>
      </w:r>
    </w:p>
    <w:p w:rsidR="00D03431" w:rsidRPr="00406B77" w:rsidRDefault="003114CC" w:rsidP="00741C43">
      <w:pPr>
        <w:spacing w:line="400" w:lineRule="exact"/>
        <w:ind w:firstLineChars="250" w:firstLine="550"/>
        <w:rPr>
          <w:sz w:val="22"/>
        </w:rPr>
      </w:pPr>
      <w:r>
        <w:rPr>
          <w:rFonts w:hint="eastAsia"/>
          <w:sz w:val="22"/>
        </w:rPr>
        <w:t>「</w:t>
      </w:r>
      <w:r w:rsidR="00D03431">
        <w:rPr>
          <w:rFonts w:hint="eastAsia"/>
          <w:sz w:val="22"/>
        </w:rPr>
        <w:t>LED</w:t>
      </w:r>
      <w:r w:rsidR="00D03431">
        <w:rPr>
          <w:rFonts w:hint="eastAsia"/>
          <w:sz w:val="22"/>
        </w:rPr>
        <w:t>サイネージ看板</w:t>
      </w:r>
      <w:r>
        <w:rPr>
          <w:rFonts w:hint="eastAsia"/>
          <w:sz w:val="22"/>
        </w:rPr>
        <w:t>」「内照看板」「その他照明</w:t>
      </w:r>
      <w:r w:rsidR="004B282B">
        <w:rPr>
          <w:rFonts w:hint="eastAsia"/>
          <w:sz w:val="22"/>
        </w:rPr>
        <w:t>の</w:t>
      </w:r>
      <w:r>
        <w:rPr>
          <w:rFonts w:hint="eastAsia"/>
          <w:sz w:val="22"/>
        </w:rPr>
        <w:t>看板」</w:t>
      </w:r>
    </w:p>
    <w:p w:rsidR="006A1A15" w:rsidRPr="003114CC" w:rsidRDefault="006A1A15" w:rsidP="00741C43">
      <w:pPr>
        <w:spacing w:line="400" w:lineRule="exact"/>
        <w:rPr>
          <w:sz w:val="22"/>
        </w:rPr>
      </w:pPr>
    </w:p>
    <w:p w:rsidR="00D03431" w:rsidRDefault="004B282B" w:rsidP="00741C43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763831" wp14:editId="39566886">
                <wp:simplePos x="0" y="0"/>
                <wp:positionH relativeFrom="column">
                  <wp:posOffset>2118995</wp:posOffset>
                </wp:positionH>
                <wp:positionV relativeFrom="paragraph">
                  <wp:posOffset>146685</wp:posOffset>
                </wp:positionV>
                <wp:extent cx="1209675" cy="333375"/>
                <wp:effectExtent l="38100" t="0" r="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85pt;margin-top:11.55pt;width:95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" adj="10800" fillcolor="#4f81bd [3204]" strokecolor="#243f60 [1604]" strokeweight="2pt"/>
            </w:pict>
          </mc:Fallback>
        </mc:AlternateContent>
      </w:r>
    </w:p>
    <w:p w:rsidR="00D03431" w:rsidRDefault="00D03431" w:rsidP="00741C43">
      <w:pPr>
        <w:spacing w:line="400" w:lineRule="exact"/>
        <w:rPr>
          <w:sz w:val="24"/>
          <w:szCs w:val="24"/>
        </w:rPr>
      </w:pPr>
    </w:p>
    <w:p w:rsidR="00675AAD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9D47B2" w:rsidRPr="00675AAD" w:rsidRDefault="00675AAD" w:rsidP="00741C43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２</w:t>
      </w:r>
      <w:r w:rsidR="00406B77" w:rsidRPr="00675AAD">
        <w:rPr>
          <w:rFonts w:ascii="HG丸ｺﾞｼｯｸM-PRO" w:eastAsia="HG丸ｺﾞｼｯｸM-PRO" w:hAnsi="HG丸ｺﾞｼｯｸM-PRO" w:hint="eastAsia"/>
          <w:b/>
          <w:sz w:val="26"/>
          <w:szCs w:val="26"/>
        </w:rPr>
        <w:t>．</w:t>
      </w:r>
      <w:r w:rsidR="00DF36BB">
        <w:rPr>
          <w:rFonts w:ascii="HG丸ｺﾞｼｯｸM-PRO" w:eastAsia="HG丸ｺﾞｼｯｸM-PRO" w:hAnsi="HG丸ｺﾞｼｯｸM-PRO" w:hint="eastAsia"/>
          <w:b/>
          <w:sz w:val="26"/>
          <w:szCs w:val="26"/>
        </w:rPr>
        <w:t>景観審議会</w:t>
      </w:r>
      <w:r w:rsidR="009F4FFB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（Ｈ26.5.27）</w:t>
      </w:r>
      <w:r w:rsidR="00DF36BB">
        <w:rPr>
          <w:rFonts w:ascii="HG丸ｺﾞｼｯｸM-PRO" w:eastAsia="HG丸ｺﾞｼｯｸM-PRO" w:hAnsi="HG丸ｺﾞｼｯｸM-PRO" w:hint="eastAsia"/>
          <w:b/>
          <w:sz w:val="26"/>
          <w:szCs w:val="26"/>
        </w:rPr>
        <w:t>への報告</w:t>
      </w:r>
    </w:p>
    <w:p w:rsidR="006E5FB7" w:rsidRPr="00300797" w:rsidRDefault="00300797" w:rsidP="00741C43">
      <w:pPr>
        <w:spacing w:line="4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4A36A" wp14:editId="3E2DDEF7">
                <wp:simplePos x="0" y="0"/>
                <wp:positionH relativeFrom="column">
                  <wp:posOffset>-46990</wp:posOffset>
                </wp:positionH>
                <wp:positionV relativeFrom="paragraph">
                  <wp:posOffset>108585</wp:posOffset>
                </wp:positionV>
                <wp:extent cx="6038850" cy="2543175"/>
                <wp:effectExtent l="19050" t="19050" r="3810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543175"/>
                        </a:xfrm>
                        <a:prstGeom prst="roundRect">
                          <a:avLst>
                            <a:gd name="adj" fmla="val 13606"/>
                          </a:avLst>
                        </a:prstGeom>
                        <a:noFill/>
                        <a:ln w="4762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3.7pt;margin-top:8.55pt;width:475.5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9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" filled="f" strokecolor="#243f60 [1604]" strokeweight="3.75pt">
                <v:stroke linestyle="thickThin"/>
              </v:roundrect>
            </w:pict>
          </mc:Fallback>
        </mc:AlternateContent>
      </w:r>
    </w:p>
    <w:p w:rsidR="003D14AF" w:rsidRPr="003D14AF" w:rsidRDefault="003D14AF" w:rsidP="00741C43">
      <w:pPr>
        <w:pStyle w:val="a7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どこまで</w:t>
      </w:r>
      <w:r w:rsidR="00935A6D">
        <w:rPr>
          <w:rFonts w:asciiTheme="minorEastAsia" w:hAnsiTheme="minorEastAsia" w:hint="eastAsia"/>
          <w:b/>
          <w:sz w:val="24"/>
          <w:szCs w:val="24"/>
        </w:rPr>
        <w:t>を</w:t>
      </w:r>
      <w:r w:rsidRPr="003D14AF">
        <w:rPr>
          <w:rFonts w:asciiTheme="minorEastAsia" w:hAnsiTheme="minorEastAsia" w:hint="eastAsia"/>
          <w:b/>
          <w:sz w:val="24"/>
          <w:szCs w:val="24"/>
        </w:rPr>
        <w:t>規制対象</w:t>
      </w:r>
      <w:r>
        <w:rPr>
          <w:rFonts w:asciiTheme="minorEastAsia" w:hAnsiTheme="minorEastAsia" w:hint="eastAsia"/>
          <w:b/>
          <w:sz w:val="24"/>
          <w:szCs w:val="24"/>
        </w:rPr>
        <w:t>とするか</w:t>
      </w:r>
    </w:p>
    <w:p w:rsidR="003D14AF" w:rsidRPr="003D14AF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3D14AF">
        <w:rPr>
          <w:rFonts w:asciiTheme="minorEastAsia" w:hAnsiTheme="minorEastAsia" w:hint="eastAsia"/>
          <w:sz w:val="22"/>
        </w:rPr>
        <w:t>・点滅とデジタルサイネージ等内容が変化するものに</w:t>
      </w:r>
      <w:r w:rsidR="00DF36BB">
        <w:rPr>
          <w:rFonts w:asciiTheme="minorEastAsia" w:hAnsiTheme="minorEastAsia" w:hint="eastAsia"/>
          <w:sz w:val="22"/>
        </w:rPr>
        <w:t>今回は</w:t>
      </w:r>
      <w:r w:rsidRPr="003D14AF">
        <w:rPr>
          <w:rFonts w:asciiTheme="minorEastAsia" w:hAnsiTheme="minorEastAsia" w:hint="eastAsia"/>
          <w:sz w:val="22"/>
        </w:rPr>
        <w:t>限定</w:t>
      </w:r>
      <w:r w:rsidR="00741C43">
        <w:rPr>
          <w:rFonts w:asciiTheme="minorEastAsia" w:hAnsiTheme="minorEastAsia" w:hint="eastAsia"/>
          <w:sz w:val="22"/>
        </w:rPr>
        <w:t>する。</w:t>
      </w:r>
    </w:p>
    <w:p w:rsidR="009C5201" w:rsidRPr="003D14AF" w:rsidRDefault="009C5201" w:rsidP="00741C43">
      <w:pPr>
        <w:pStyle w:val="a7"/>
        <w:numPr>
          <w:ilvl w:val="0"/>
          <w:numId w:val="2"/>
        </w:numPr>
        <w:spacing w:beforeLines="50" w:before="180" w:line="400" w:lineRule="exact"/>
        <w:ind w:leftChars="0" w:left="595" w:hanging="35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どのような</w:t>
      </w:r>
      <w:r w:rsidRPr="003D14AF">
        <w:rPr>
          <w:rFonts w:asciiTheme="minorEastAsia" w:hAnsiTheme="minorEastAsia" w:hint="eastAsia"/>
          <w:b/>
          <w:sz w:val="24"/>
          <w:szCs w:val="24"/>
        </w:rPr>
        <w:t>規制</w:t>
      </w:r>
      <w:r>
        <w:rPr>
          <w:rFonts w:asciiTheme="minorEastAsia" w:hAnsiTheme="minorEastAsia" w:hint="eastAsia"/>
          <w:b/>
          <w:sz w:val="24"/>
          <w:szCs w:val="24"/>
        </w:rPr>
        <w:t>内容にするか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・「輝度制限（ｃｄ／㎡）」と「規模制限（㎡）」と</w:t>
      </w:r>
      <w:r w:rsidR="004B282B">
        <w:rPr>
          <w:rFonts w:asciiTheme="minorEastAsia" w:hAnsiTheme="minorEastAsia" w:hint="eastAsia"/>
          <w:sz w:val="22"/>
        </w:rPr>
        <w:t>を</w:t>
      </w:r>
      <w:r w:rsidR="004B282B" w:rsidRPr="009C5201">
        <w:rPr>
          <w:rFonts w:asciiTheme="minorEastAsia" w:hAnsiTheme="minorEastAsia" w:hint="eastAsia"/>
          <w:sz w:val="22"/>
        </w:rPr>
        <w:t>合わせた制限</w:t>
      </w:r>
      <w:r w:rsidR="00741C43">
        <w:rPr>
          <w:rFonts w:asciiTheme="minorEastAsia" w:hAnsiTheme="minorEastAsia" w:hint="eastAsia"/>
          <w:sz w:val="22"/>
        </w:rPr>
        <w:t>とする</w:t>
      </w:r>
      <w:r w:rsidR="00DF36BB">
        <w:rPr>
          <w:rFonts w:asciiTheme="minorEastAsia" w:hAnsiTheme="minorEastAsia" w:hint="eastAsia"/>
          <w:sz w:val="22"/>
        </w:rPr>
        <w:t>。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</w:t>
      </w:r>
      <w:r w:rsidR="00DF36BB">
        <w:rPr>
          <w:rFonts w:asciiTheme="minorEastAsia" w:hAnsiTheme="minorEastAsia" w:hint="eastAsia"/>
          <w:sz w:val="22"/>
        </w:rPr>
        <w:t>現地調査により</w:t>
      </w:r>
      <w:r w:rsidR="004B282B">
        <w:rPr>
          <w:rFonts w:asciiTheme="minorEastAsia" w:hAnsiTheme="minorEastAsia" w:hint="eastAsia"/>
          <w:sz w:val="22"/>
        </w:rPr>
        <w:t>具体的な</w:t>
      </w:r>
      <w:r w:rsidR="00741C43">
        <w:rPr>
          <w:rFonts w:asciiTheme="minorEastAsia" w:hAnsiTheme="minorEastAsia" w:hint="eastAsia"/>
          <w:sz w:val="22"/>
        </w:rPr>
        <w:t>数値</w:t>
      </w:r>
      <w:r w:rsidR="00DF36BB">
        <w:rPr>
          <w:rFonts w:asciiTheme="minorEastAsia" w:hAnsiTheme="minorEastAsia" w:hint="eastAsia"/>
          <w:sz w:val="22"/>
        </w:rPr>
        <w:t>を設定するが、仮置</w:t>
      </w:r>
      <w:r w:rsidR="00467533">
        <w:rPr>
          <w:rFonts w:asciiTheme="minorEastAsia" w:hAnsiTheme="minorEastAsia" w:hint="eastAsia"/>
          <w:sz w:val="22"/>
        </w:rPr>
        <w:t>とし、数値の妥当性について検証する。</w:t>
      </w:r>
    </w:p>
    <w:p w:rsidR="009C5201" w:rsidRPr="003D14AF" w:rsidRDefault="009C5201" w:rsidP="00741C43">
      <w:pPr>
        <w:pStyle w:val="a7"/>
        <w:numPr>
          <w:ilvl w:val="0"/>
          <w:numId w:val="2"/>
        </w:numPr>
        <w:spacing w:beforeLines="50" w:before="180" w:line="400" w:lineRule="exact"/>
        <w:ind w:leftChars="0" w:left="595" w:hanging="357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どのように規制区域を設定するか（住居系地域を基本）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</w:t>
      </w:r>
      <w:r w:rsidR="00741C43">
        <w:rPr>
          <w:rFonts w:asciiTheme="minorEastAsia" w:hAnsiTheme="minorEastAsia" w:hint="eastAsia"/>
          <w:sz w:val="22"/>
        </w:rPr>
        <w:t>住環境を守るため、</w:t>
      </w:r>
      <w:r w:rsidRPr="009C5201">
        <w:rPr>
          <w:rFonts w:asciiTheme="minorEastAsia" w:hAnsiTheme="minorEastAsia" w:hint="eastAsia"/>
          <w:sz w:val="22"/>
        </w:rPr>
        <w:t>住居系地域に隣接した地域の一部を対象とする。</w:t>
      </w:r>
    </w:p>
    <w:p w:rsidR="003D14AF" w:rsidRPr="009C5201" w:rsidRDefault="003D14AF" w:rsidP="00741C43">
      <w:pPr>
        <w:spacing w:line="400" w:lineRule="exact"/>
        <w:ind w:firstLineChars="150" w:firstLine="330"/>
        <w:rPr>
          <w:rFonts w:asciiTheme="minorEastAsia" w:hAnsiTheme="minorEastAsia"/>
          <w:sz w:val="22"/>
        </w:rPr>
      </w:pPr>
      <w:r w:rsidRPr="009C5201">
        <w:rPr>
          <w:rFonts w:asciiTheme="minorEastAsia" w:hAnsiTheme="minorEastAsia" w:hint="eastAsia"/>
          <w:sz w:val="22"/>
        </w:rPr>
        <w:t>・市街化調整区域</w:t>
      </w:r>
      <w:r w:rsidR="00741C43" w:rsidRPr="009C5201">
        <w:rPr>
          <w:rFonts w:asciiTheme="minorEastAsia" w:hAnsiTheme="minorEastAsia" w:hint="eastAsia"/>
          <w:sz w:val="22"/>
        </w:rPr>
        <w:t>も対象とする。</w:t>
      </w:r>
      <w:r w:rsidRPr="009C5201">
        <w:rPr>
          <w:rFonts w:asciiTheme="minorEastAsia" w:hAnsiTheme="minorEastAsia" w:hint="eastAsia"/>
          <w:sz w:val="22"/>
        </w:rPr>
        <w:t>（地区計画</w:t>
      </w:r>
      <w:r w:rsidR="00741C43">
        <w:rPr>
          <w:rFonts w:asciiTheme="minorEastAsia" w:hAnsiTheme="minorEastAsia" w:hint="eastAsia"/>
          <w:sz w:val="22"/>
        </w:rPr>
        <w:t>により</w:t>
      </w:r>
      <w:r w:rsidRPr="009C5201">
        <w:rPr>
          <w:rFonts w:asciiTheme="minorEastAsia" w:hAnsiTheme="minorEastAsia" w:hint="eastAsia"/>
          <w:sz w:val="22"/>
        </w:rPr>
        <w:t>大型店などが立地する可能性あり）</w:t>
      </w:r>
    </w:p>
    <w:p w:rsidR="00414F20" w:rsidRDefault="00414F20" w:rsidP="00741C43">
      <w:pPr>
        <w:spacing w:line="400" w:lineRule="exact"/>
        <w:rPr>
          <w:sz w:val="24"/>
          <w:szCs w:val="24"/>
        </w:rPr>
      </w:pPr>
    </w:p>
    <w:p w:rsidR="00675AAD" w:rsidRPr="0099337F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  <w:highlight w:val="cyan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３</w:t>
      </w:r>
      <w:r w:rsidRPr="009D47B2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．許可基準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案</w:t>
      </w:r>
      <w:r w:rsidR="0099337F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（仮置）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 xml:space="preserve">（別紙）　　</w:t>
      </w:r>
    </w:p>
    <w:p w:rsid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675AAD" w:rsidRDefault="00675AAD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４</w:t>
      </w:r>
      <w:r w:rsidRPr="009D47B2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．</w:t>
      </w:r>
      <w:r w:rsidR="00467533"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>部会の検討事項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  <w:highlight w:val="cyan"/>
        </w:rPr>
        <w:t xml:space="preserve">　　</w:t>
      </w:r>
    </w:p>
    <w:p w:rsidR="00467533" w:rsidRPr="00675AAD" w:rsidRDefault="00484997" w:rsidP="00675AAD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●　規制内容の検証</w:t>
      </w:r>
    </w:p>
    <w:p w:rsidR="00A41DCD" w:rsidRDefault="00675AAD" w:rsidP="00741C4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・官能評価の手法を用いて、数値の妥当性等を検証する。</w:t>
      </w:r>
    </w:p>
    <w:p w:rsidR="004E6A12" w:rsidRDefault="004E6A12" w:rsidP="00741C4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・手法の妥当性について検討する。</w:t>
      </w:r>
    </w:p>
    <w:p w:rsidR="006B1527" w:rsidRDefault="00675AAD" w:rsidP="00741C43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</w:t>
      </w:r>
      <w:r w:rsidR="004E6A12">
        <w:rPr>
          <w:rFonts w:hint="eastAsia"/>
          <w:sz w:val="24"/>
          <w:szCs w:val="24"/>
        </w:rPr>
        <w:t>検証結果を審議会に報告し、規制内容のあり方について議論。</w:t>
      </w:r>
    </w:p>
    <w:p w:rsidR="006B1527" w:rsidRDefault="006B1527" w:rsidP="006B1527">
      <w:pPr>
        <w:spacing w:line="400" w:lineRule="exact"/>
        <w:rPr>
          <w:sz w:val="24"/>
          <w:szCs w:val="24"/>
        </w:rPr>
      </w:pPr>
    </w:p>
    <w:p w:rsidR="006B1527" w:rsidRDefault="006B1527" w:rsidP="006B1527">
      <w:pPr>
        <w:spacing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●　規制区域の設定</w:t>
      </w:r>
    </w:p>
    <w:p w:rsidR="00675AAD" w:rsidRDefault="006B1527" w:rsidP="004525B4">
      <w:pPr>
        <w:spacing w:line="400" w:lineRule="exact"/>
        <w:rPr>
          <w:rFonts w:ascii="HG丸ｺﾞｼｯｸM-PRO" w:eastAsia="HG丸ｺﾞｼｯｸM-PRO" w:hAnsi="HG丸ｺﾞｼｯｸM-PRO" w:hint="eastAsia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　</w:t>
      </w:r>
      <w:r>
        <w:rPr>
          <w:rFonts w:hint="eastAsia"/>
          <w:sz w:val="24"/>
          <w:szCs w:val="24"/>
        </w:rPr>
        <w:t>・土地利用や立地論からみて、規制区域の設定は妥当か。</w:t>
      </w:r>
      <w:r w:rsidRPr="00467533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</w:p>
    <w:p w:rsidR="005667FA" w:rsidRDefault="005667FA" w:rsidP="005667FA">
      <w:pPr>
        <w:rPr>
          <w:sz w:val="24"/>
          <w:szCs w:val="24"/>
        </w:rPr>
      </w:pPr>
    </w:p>
    <w:p w:rsidR="005667FA" w:rsidRDefault="005667FA" w:rsidP="005667FA">
      <w:pPr>
        <w:rPr>
          <w:sz w:val="24"/>
          <w:szCs w:val="24"/>
        </w:rPr>
      </w:pPr>
      <w:r w:rsidRPr="00002266">
        <w:rPr>
          <w:rFonts w:hint="eastAsia"/>
          <w:sz w:val="24"/>
          <w:szCs w:val="24"/>
        </w:rPr>
        <w:t>照明許可基準</w:t>
      </w:r>
      <w:r>
        <w:rPr>
          <w:rFonts w:hint="eastAsia"/>
          <w:sz w:val="24"/>
          <w:szCs w:val="24"/>
        </w:rPr>
        <w:t xml:space="preserve">　（仮置）</w:t>
      </w:r>
    </w:p>
    <w:p w:rsidR="005667FA" w:rsidRPr="00002266" w:rsidRDefault="005667FA" w:rsidP="005667FA">
      <w:pPr>
        <w:rPr>
          <w:rFonts w:asciiTheme="minorEastAsia" w:hAnsiTheme="minorEastAsia"/>
          <w:sz w:val="22"/>
        </w:rPr>
      </w:pPr>
      <w:r w:rsidRPr="00002266">
        <w:rPr>
          <w:rFonts w:asciiTheme="minorEastAsia" w:hAnsiTheme="minorEastAsia" w:hint="eastAsia"/>
          <w:sz w:val="22"/>
        </w:rPr>
        <w:t>１．照明規制の対象</w:t>
      </w:r>
    </w:p>
    <w:p w:rsidR="005667FA" w:rsidRDefault="005667FA" w:rsidP="005667FA">
      <w:pPr>
        <w:ind w:firstLineChars="200" w:firstLine="420"/>
      </w:pPr>
      <w:r>
        <w:rPr>
          <w:rFonts w:hint="eastAsia"/>
        </w:rPr>
        <w:t>可変表示型屋外広告物　常時表示の内容を変えることができるもの及び点滅するもの</w:t>
      </w:r>
    </w:p>
    <w:p w:rsidR="005667FA" w:rsidRDefault="005667FA" w:rsidP="005667FA"/>
    <w:p w:rsidR="005667FA" w:rsidRPr="00002266" w:rsidRDefault="005667FA" w:rsidP="005667FA">
      <w:pPr>
        <w:rPr>
          <w:rFonts w:asciiTheme="minorEastAsia" w:hAnsiTheme="minorEastAsia"/>
          <w:sz w:val="22"/>
        </w:rPr>
      </w:pPr>
      <w:r w:rsidRPr="00002266">
        <w:rPr>
          <w:rFonts w:asciiTheme="minorEastAsia" w:hAnsiTheme="minorEastAsia" w:hint="eastAsia"/>
          <w:sz w:val="22"/>
        </w:rPr>
        <w:t>２．許可基準及び適用地域</w:t>
      </w:r>
    </w:p>
    <w:tbl>
      <w:tblPr>
        <w:tblStyle w:val="a8"/>
        <w:tblW w:w="8397" w:type="dxa"/>
        <w:tblLook w:val="04A0" w:firstRow="1" w:lastRow="0" w:firstColumn="1" w:lastColumn="0" w:noHBand="0" w:noVBand="1"/>
      </w:tblPr>
      <w:tblGrid>
        <w:gridCol w:w="1485"/>
        <w:gridCol w:w="3868"/>
        <w:gridCol w:w="3044"/>
      </w:tblGrid>
      <w:tr w:rsidR="005667FA" w:rsidTr="007F6529">
        <w:trPr>
          <w:trHeight w:val="416"/>
        </w:trPr>
        <w:tc>
          <w:tcPr>
            <w:tcW w:w="1485" w:type="dxa"/>
          </w:tcPr>
          <w:p w:rsidR="005667FA" w:rsidRDefault="005667FA" w:rsidP="007F6529"/>
        </w:tc>
        <w:tc>
          <w:tcPr>
            <w:tcW w:w="3868" w:type="dxa"/>
            <w:vAlign w:val="center"/>
          </w:tcPr>
          <w:p w:rsidR="005667FA" w:rsidRDefault="005667FA" w:rsidP="007F6529">
            <w:r>
              <w:rPr>
                <w:rFonts w:hint="eastAsia"/>
              </w:rPr>
              <w:t>許可基準</w:t>
            </w:r>
          </w:p>
        </w:tc>
        <w:tc>
          <w:tcPr>
            <w:tcW w:w="3044" w:type="dxa"/>
            <w:vAlign w:val="center"/>
          </w:tcPr>
          <w:p w:rsidR="005667FA" w:rsidRDefault="005667FA" w:rsidP="007F6529">
            <w:r>
              <w:rPr>
                <w:rFonts w:hint="eastAsia"/>
              </w:rPr>
              <w:t>適用される区域</w:t>
            </w:r>
          </w:p>
        </w:tc>
      </w:tr>
      <w:tr w:rsidR="005667FA" w:rsidTr="007F6529">
        <w:trPr>
          <w:trHeight w:val="1562"/>
        </w:trPr>
        <w:tc>
          <w:tcPr>
            <w:tcW w:w="1485" w:type="dxa"/>
            <w:vMerge w:val="restart"/>
          </w:tcPr>
          <w:p w:rsidR="005667FA" w:rsidRDefault="005667FA" w:rsidP="007F6529">
            <w:r>
              <w:rPr>
                <w:rFonts w:hint="eastAsia"/>
              </w:rPr>
              <w:t>可変表示型</w:t>
            </w:r>
          </w:p>
          <w:p w:rsidR="005667FA" w:rsidRDefault="005667FA" w:rsidP="007F6529">
            <w:r>
              <w:rPr>
                <w:rFonts w:hint="eastAsia"/>
              </w:rPr>
              <w:t>屋外広告物</w:t>
            </w:r>
          </w:p>
        </w:tc>
        <w:tc>
          <w:tcPr>
            <w:tcW w:w="3868" w:type="dxa"/>
            <w:vAlign w:val="center"/>
          </w:tcPr>
          <w:p w:rsidR="005667FA" w:rsidRDefault="005667FA" w:rsidP="007F6529">
            <w:r>
              <w:rPr>
                <w:rFonts w:hint="eastAsia"/>
              </w:rPr>
              <w:t>原則として禁止する。</w:t>
            </w:r>
          </w:p>
          <w:p w:rsidR="005667FA" w:rsidRDefault="005667FA" w:rsidP="007F652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0.5</w:t>
            </w:r>
            <w:r>
              <w:rPr>
                <w:rFonts w:hint="eastAsia"/>
              </w:rPr>
              <w:t>㎡以下及び両面の場合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㎡以下、かつ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輝度</w:t>
            </w:r>
            <w:r>
              <w:rPr>
                <w:rFonts w:hint="eastAsia"/>
                <w:u w:val="single"/>
                <w:shd w:val="pct15" w:color="auto" w:fill="FFFFFF"/>
              </w:rPr>
              <w:t>2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000cd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／㎡以下</w:t>
            </w:r>
            <w:r>
              <w:rPr>
                <w:rFonts w:hint="eastAsia"/>
              </w:rPr>
              <w:t>は適用除外とする。）</w:t>
            </w:r>
          </w:p>
        </w:tc>
        <w:tc>
          <w:tcPr>
            <w:tcW w:w="3044" w:type="dxa"/>
            <w:vAlign w:val="center"/>
          </w:tcPr>
          <w:p w:rsidR="005667FA" w:rsidRDefault="005667FA" w:rsidP="007F6529">
            <w:r>
              <w:rPr>
                <w:rFonts w:hint="eastAsia"/>
              </w:rPr>
              <w:t>禁止区域（第一種低層住居専用地域を含む）並びに</w:t>
            </w:r>
          </w:p>
          <w:p w:rsidR="005667FA" w:rsidRDefault="005667FA" w:rsidP="007F6529">
            <w:r>
              <w:rPr>
                <w:rFonts w:hint="eastAsia"/>
              </w:rPr>
              <w:t>第二種低層住居専用地域及び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周辺</w:t>
            </w:r>
            <w:r>
              <w:rPr>
                <w:rFonts w:hint="eastAsia"/>
                <w:u w:val="single"/>
                <w:shd w:val="pct15" w:color="auto" w:fill="FFFFFF"/>
              </w:rPr>
              <w:t>5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0m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以内</w:t>
            </w:r>
            <w:r>
              <w:rPr>
                <w:rFonts w:hint="eastAsia"/>
              </w:rPr>
              <w:t>の区域</w:t>
            </w:r>
          </w:p>
        </w:tc>
      </w:tr>
      <w:tr w:rsidR="005667FA" w:rsidTr="007F6529">
        <w:trPr>
          <w:trHeight w:val="1966"/>
        </w:trPr>
        <w:tc>
          <w:tcPr>
            <w:tcW w:w="1485" w:type="dxa"/>
            <w:vMerge/>
          </w:tcPr>
          <w:p w:rsidR="005667FA" w:rsidRDefault="005667FA" w:rsidP="007F6529"/>
        </w:tc>
        <w:tc>
          <w:tcPr>
            <w:tcW w:w="3868" w:type="dxa"/>
            <w:vAlign w:val="center"/>
          </w:tcPr>
          <w:p w:rsidR="005667FA" w:rsidRDefault="005667FA" w:rsidP="007F6529">
            <w:pPr>
              <w:ind w:left="210" w:hangingChars="100" w:hanging="210"/>
            </w:pPr>
            <w:r>
              <w:rPr>
                <w:rFonts w:hint="eastAsia"/>
              </w:rPr>
              <w:t>大きさは、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㎡以下及び両面の場合</w:t>
            </w:r>
          </w:p>
          <w:p w:rsidR="005667FA" w:rsidRDefault="005667FA" w:rsidP="007F6529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面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㎡以下とすること、かつ</w:t>
            </w:r>
          </w:p>
          <w:p w:rsidR="005667FA" w:rsidRDefault="005667FA" w:rsidP="007F6529">
            <w:r w:rsidRPr="006260D7">
              <w:rPr>
                <w:rFonts w:hint="eastAsia"/>
                <w:u w:val="single"/>
                <w:shd w:val="pct15" w:color="auto" w:fill="FFFFFF"/>
              </w:rPr>
              <w:t>輝度は</w:t>
            </w:r>
            <w:r>
              <w:rPr>
                <w:rFonts w:hint="eastAsia"/>
                <w:u w:val="single"/>
                <w:shd w:val="pct15" w:color="auto" w:fill="FFFFFF"/>
              </w:rPr>
              <w:t>2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000cd/</w:t>
            </w:r>
            <w:r w:rsidRPr="006260D7">
              <w:rPr>
                <w:rFonts w:hint="eastAsia"/>
                <w:u w:val="single"/>
                <w:shd w:val="pct15" w:color="auto" w:fill="FFFFFF"/>
              </w:rPr>
              <w:t>㎡以下</w:t>
            </w:r>
            <w:r>
              <w:rPr>
                <w:rFonts w:hint="eastAsia"/>
              </w:rPr>
              <w:t>とすること。</w:t>
            </w:r>
          </w:p>
          <w:p w:rsidR="005667FA" w:rsidRPr="00244D3F" w:rsidRDefault="005667FA" w:rsidP="007F6529">
            <w:pPr>
              <w:ind w:left="210" w:hangingChars="100" w:hanging="210"/>
            </w:pPr>
          </w:p>
        </w:tc>
        <w:tc>
          <w:tcPr>
            <w:tcW w:w="3044" w:type="dxa"/>
            <w:vAlign w:val="center"/>
          </w:tcPr>
          <w:p w:rsidR="005667FA" w:rsidRDefault="005667FA" w:rsidP="007F6529">
            <w:r>
              <w:rPr>
                <w:rFonts w:hint="eastAsia"/>
              </w:rPr>
              <w:t>第一種中高層住居専用地域</w:t>
            </w:r>
          </w:p>
          <w:p w:rsidR="005667FA" w:rsidRDefault="005667FA" w:rsidP="007F6529">
            <w:r>
              <w:rPr>
                <w:rFonts w:hint="eastAsia"/>
              </w:rPr>
              <w:t>第二種中高層住居専用地域</w:t>
            </w:r>
          </w:p>
          <w:p w:rsidR="005667FA" w:rsidRDefault="005667FA" w:rsidP="007F6529">
            <w:r>
              <w:rPr>
                <w:rFonts w:hint="eastAsia"/>
              </w:rPr>
              <w:t>第一種住居地域</w:t>
            </w:r>
          </w:p>
          <w:p w:rsidR="005667FA" w:rsidRDefault="005667FA" w:rsidP="007F6529">
            <w:r>
              <w:rPr>
                <w:rFonts w:hint="eastAsia"/>
              </w:rPr>
              <w:t>第二種住居地域の区域及び</w:t>
            </w:r>
          </w:p>
          <w:p w:rsidR="005667FA" w:rsidRPr="00D7141E" w:rsidRDefault="005667FA" w:rsidP="007F6529">
            <w:r w:rsidRPr="00A473D5">
              <w:rPr>
                <w:rFonts w:hint="eastAsia"/>
                <w:u w:val="single"/>
                <w:shd w:val="pct15" w:color="auto" w:fill="FFFFFF"/>
              </w:rPr>
              <w:t>周辺</w:t>
            </w:r>
            <w:r>
              <w:rPr>
                <w:rFonts w:hint="eastAsia"/>
                <w:u w:val="single"/>
                <w:shd w:val="pct15" w:color="auto" w:fill="FFFFFF"/>
              </w:rPr>
              <w:t>5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0m</w:t>
            </w:r>
            <w:r w:rsidRPr="00A473D5">
              <w:rPr>
                <w:rFonts w:hint="eastAsia"/>
                <w:u w:val="single"/>
                <w:shd w:val="pct15" w:color="auto" w:fill="FFFFFF"/>
              </w:rPr>
              <w:t>以内</w:t>
            </w:r>
            <w:r>
              <w:rPr>
                <w:rFonts w:hint="eastAsia"/>
              </w:rPr>
              <w:t>の区域並びに市街化調整区域</w:t>
            </w:r>
          </w:p>
        </w:tc>
      </w:tr>
    </w:tbl>
    <w:p w:rsidR="005667FA" w:rsidRDefault="005667FA" w:rsidP="005667FA"/>
    <w:p w:rsidR="005667FA" w:rsidRDefault="005667FA" w:rsidP="005667FA"/>
    <w:p w:rsidR="005667FA" w:rsidRPr="00F74689" w:rsidRDefault="005667FA" w:rsidP="005667FA">
      <w:pPr>
        <w:spacing w:line="220" w:lineRule="exact"/>
        <w:rPr>
          <w:rFonts w:asciiTheme="minorEastAsia" w:hAnsiTheme="minorEastAsia"/>
          <w:sz w:val="18"/>
          <w:szCs w:val="18"/>
        </w:rPr>
      </w:pPr>
      <w:r w:rsidRPr="00F74689">
        <w:rPr>
          <w:rFonts w:asciiTheme="minorEastAsia" w:hAnsiTheme="minorEastAsia" w:hint="eastAsia"/>
          <w:sz w:val="18"/>
          <w:szCs w:val="18"/>
        </w:rPr>
        <w:t>《参　考》</w:t>
      </w:r>
    </w:p>
    <w:p w:rsidR="005667FA" w:rsidRPr="00F74689" w:rsidRDefault="005667FA" w:rsidP="005667FA">
      <w:pPr>
        <w:pStyle w:val="a7"/>
        <w:numPr>
          <w:ilvl w:val="0"/>
          <w:numId w:val="6"/>
        </w:numPr>
        <w:spacing w:beforeLines="30" w:before="108" w:line="220" w:lineRule="exact"/>
        <w:ind w:leftChars="0" w:left="567" w:hanging="357"/>
        <w:rPr>
          <w:sz w:val="18"/>
          <w:szCs w:val="18"/>
        </w:rPr>
      </w:pPr>
      <w:r w:rsidRPr="00F74689"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9BE09A" wp14:editId="1C046457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5467350" cy="3095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0956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95pt;margin-top:2.1pt;width:430.5pt;height:243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" fillcolor="white [3201]" strokecolor="#7f7f7f [1612]">
                <v:stroke dashstyle="1 1"/>
              </v:rect>
            </w:pict>
          </mc:Fallback>
        </mc:AlternateContent>
      </w:r>
      <w:r w:rsidRPr="00F74689">
        <w:rPr>
          <w:rFonts w:hint="eastAsia"/>
          <w:sz w:val="18"/>
          <w:szCs w:val="18"/>
        </w:rPr>
        <w:t>ＣＩＥ（国際照明委員会）による「屋外照明による障害光抑制ガイド（</w:t>
      </w:r>
      <w:r w:rsidRPr="00F74689">
        <w:rPr>
          <w:rFonts w:hint="eastAsia"/>
          <w:sz w:val="18"/>
          <w:szCs w:val="18"/>
        </w:rPr>
        <w:t>2003</w:t>
      </w:r>
      <w:r w:rsidRPr="00F74689">
        <w:rPr>
          <w:rFonts w:hint="eastAsia"/>
          <w:sz w:val="18"/>
          <w:szCs w:val="18"/>
        </w:rPr>
        <w:t>）」</w:t>
      </w:r>
    </w:p>
    <w:p w:rsidR="005667FA" w:rsidRPr="00F74689" w:rsidRDefault="005667FA" w:rsidP="005667FA">
      <w:pPr>
        <w:spacing w:line="220" w:lineRule="exact"/>
        <w:ind w:firstLineChars="200" w:firstLine="36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（環境省　「光害対策ガイドライン」による）</w:t>
      </w:r>
    </w:p>
    <w:p w:rsidR="005667FA" w:rsidRPr="00F74689" w:rsidRDefault="005667FA" w:rsidP="005667FA">
      <w:pPr>
        <w:spacing w:beforeLines="30" w:before="108" w:line="220" w:lineRule="exact"/>
        <w:ind w:firstLineChars="250" w:firstLine="45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ＣＩＥの環境区域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349"/>
      </w:tblGrid>
      <w:tr w:rsidR="005667FA" w:rsidRPr="00F74689" w:rsidTr="007F6529"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区域</w:t>
            </w:r>
          </w:p>
        </w:tc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環境</w:t>
            </w:r>
          </w:p>
        </w:tc>
        <w:tc>
          <w:tcPr>
            <w:tcW w:w="255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光環境</w:t>
            </w:r>
          </w:p>
        </w:tc>
        <w:tc>
          <w:tcPr>
            <w:tcW w:w="3349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例</w:t>
            </w:r>
          </w:p>
        </w:tc>
      </w:tr>
      <w:tr w:rsidR="005667FA" w:rsidRPr="00F74689" w:rsidTr="007F6529"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Ｅ１</w:t>
            </w:r>
          </w:p>
        </w:tc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自然</w:t>
            </w:r>
          </w:p>
        </w:tc>
        <w:tc>
          <w:tcPr>
            <w:tcW w:w="255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本来暗い</w:t>
            </w:r>
          </w:p>
        </w:tc>
        <w:tc>
          <w:tcPr>
            <w:tcW w:w="3349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国立公園、保護された場所</w:t>
            </w:r>
          </w:p>
        </w:tc>
      </w:tr>
      <w:tr w:rsidR="005667FA" w:rsidRPr="00F74689" w:rsidTr="007F6529"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Ｅ２</w:t>
            </w:r>
          </w:p>
        </w:tc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地方</w:t>
            </w:r>
          </w:p>
        </w:tc>
        <w:tc>
          <w:tcPr>
            <w:tcW w:w="255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低い明るさ</w:t>
            </w:r>
          </w:p>
        </w:tc>
        <w:tc>
          <w:tcPr>
            <w:tcW w:w="3349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産業的又は居住的な地方領域</w:t>
            </w:r>
          </w:p>
        </w:tc>
      </w:tr>
      <w:tr w:rsidR="005667FA" w:rsidRPr="00F74689" w:rsidTr="007F6529"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Ｅ３</w:t>
            </w:r>
          </w:p>
        </w:tc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郊外</w:t>
            </w:r>
          </w:p>
        </w:tc>
        <w:tc>
          <w:tcPr>
            <w:tcW w:w="255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中間の明るさ</w:t>
            </w:r>
          </w:p>
        </w:tc>
        <w:tc>
          <w:tcPr>
            <w:tcW w:w="3349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産業的又は居住的な郊外領域</w:t>
            </w:r>
          </w:p>
        </w:tc>
      </w:tr>
      <w:tr w:rsidR="005667FA" w:rsidRPr="00F74689" w:rsidTr="007F6529"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Ｅ４</w:t>
            </w:r>
          </w:p>
        </w:tc>
        <w:tc>
          <w:tcPr>
            <w:tcW w:w="1134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都市</w:t>
            </w:r>
          </w:p>
        </w:tc>
        <w:tc>
          <w:tcPr>
            <w:tcW w:w="255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高い明るさ</w:t>
            </w:r>
          </w:p>
        </w:tc>
        <w:tc>
          <w:tcPr>
            <w:tcW w:w="3349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都市中心と商業領域</w:t>
            </w:r>
          </w:p>
        </w:tc>
      </w:tr>
    </w:tbl>
    <w:p w:rsidR="005667FA" w:rsidRPr="00F74689" w:rsidRDefault="005667FA" w:rsidP="005667FA">
      <w:pPr>
        <w:spacing w:line="220" w:lineRule="exact"/>
        <w:rPr>
          <w:sz w:val="18"/>
          <w:szCs w:val="18"/>
        </w:rPr>
      </w:pPr>
    </w:p>
    <w:p w:rsidR="005667FA" w:rsidRPr="00F74689" w:rsidRDefault="005667FA" w:rsidP="005667FA">
      <w:pPr>
        <w:pStyle w:val="a7"/>
        <w:numPr>
          <w:ilvl w:val="0"/>
          <w:numId w:val="6"/>
        </w:numPr>
        <w:spacing w:line="220" w:lineRule="exact"/>
        <w:ind w:leftChars="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 xml:space="preserve">障害光を抑制するための照明技術特性値の許容最大値（ＣＩＥ　</w:t>
      </w:r>
      <w:r w:rsidRPr="00F74689">
        <w:rPr>
          <w:rFonts w:hint="eastAsia"/>
          <w:sz w:val="18"/>
          <w:szCs w:val="18"/>
        </w:rPr>
        <w:t>150-2003</w:t>
      </w:r>
      <w:r w:rsidRPr="00F74689">
        <w:rPr>
          <w:rFonts w:hint="eastAsia"/>
          <w:sz w:val="18"/>
          <w:szCs w:val="18"/>
        </w:rPr>
        <w:t xml:space="preserve">　抜粋）</w:t>
      </w:r>
    </w:p>
    <w:p w:rsidR="005667FA" w:rsidRPr="00F74689" w:rsidRDefault="005667FA" w:rsidP="005667FA">
      <w:pPr>
        <w:spacing w:beforeLines="30" w:before="108" w:line="220" w:lineRule="exact"/>
        <w:ind w:firstLineChars="250" w:firstLine="450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>過剰に照明された建築物の壁面と看板</w:t>
      </w:r>
    </w:p>
    <w:p w:rsidR="005667FA" w:rsidRPr="00F74689" w:rsidRDefault="005667FA" w:rsidP="005667FA">
      <w:pPr>
        <w:spacing w:line="220" w:lineRule="exact"/>
        <w:rPr>
          <w:sz w:val="18"/>
          <w:szCs w:val="18"/>
        </w:rPr>
      </w:pPr>
      <w:r w:rsidRPr="00F74689">
        <w:rPr>
          <w:rFonts w:hint="eastAsia"/>
          <w:sz w:val="18"/>
          <w:szCs w:val="18"/>
        </w:rPr>
        <w:t xml:space="preserve">　　</w:t>
      </w:r>
      <w:r w:rsidRPr="00F74689">
        <w:rPr>
          <w:rFonts w:hint="eastAsia"/>
          <w:sz w:val="18"/>
          <w:szCs w:val="18"/>
        </w:rPr>
        <w:t xml:space="preserve"> </w:t>
      </w:r>
      <w:r w:rsidRPr="00F74689">
        <w:rPr>
          <w:rFonts w:hint="eastAsia"/>
          <w:sz w:val="18"/>
          <w:szCs w:val="18"/>
        </w:rPr>
        <w:t>建築物壁面と平均輝度の最大許容値（単位：ｃｄ／㎡）</w:t>
      </w:r>
    </w:p>
    <w:tbl>
      <w:tblPr>
        <w:tblStyle w:val="a8"/>
        <w:tblW w:w="8221" w:type="dxa"/>
        <w:tblInd w:w="534" w:type="dxa"/>
        <w:tblLook w:val="04A0" w:firstRow="1" w:lastRow="0" w:firstColumn="1" w:lastColumn="0" w:noHBand="0" w:noVBand="1"/>
      </w:tblPr>
      <w:tblGrid>
        <w:gridCol w:w="1701"/>
        <w:gridCol w:w="3402"/>
        <w:gridCol w:w="779"/>
        <w:gridCol w:w="780"/>
        <w:gridCol w:w="779"/>
        <w:gridCol w:w="780"/>
      </w:tblGrid>
      <w:tr w:rsidR="005667FA" w:rsidRPr="00F74689" w:rsidTr="007F6529">
        <w:tc>
          <w:tcPr>
            <w:tcW w:w="170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Ｅ１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Ｅ２</w:t>
            </w: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Ｅ３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Ｅ４</w:t>
            </w:r>
          </w:p>
        </w:tc>
      </w:tr>
      <w:tr w:rsidR="005667FA" w:rsidRPr="00F74689" w:rsidTr="007F6529">
        <w:trPr>
          <w:trHeight w:val="351"/>
        </w:trPr>
        <w:tc>
          <w:tcPr>
            <w:tcW w:w="170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建物表面の輝度</w:t>
            </w:r>
          </w:p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（Ｌｂ）</w:t>
            </w:r>
          </w:p>
        </w:tc>
        <w:tc>
          <w:tcPr>
            <w:tcW w:w="3402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平均照度×反射率／πより求める</w:t>
            </w: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０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１０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２５</w:t>
            </w:r>
          </w:p>
        </w:tc>
      </w:tr>
      <w:tr w:rsidR="005667FA" w:rsidRPr="00F74689" w:rsidTr="007F6529">
        <w:trPr>
          <w:trHeight w:val="471"/>
        </w:trPr>
        <w:tc>
          <w:tcPr>
            <w:tcW w:w="1701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看板の輝度</w:t>
            </w:r>
          </w:p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（Ｌｓ）</w:t>
            </w:r>
          </w:p>
        </w:tc>
        <w:tc>
          <w:tcPr>
            <w:tcW w:w="3402" w:type="dxa"/>
          </w:tcPr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平均照度×反射率／πより求める</w:t>
            </w:r>
          </w:p>
          <w:p w:rsidR="005667FA" w:rsidRPr="00F74689" w:rsidRDefault="005667FA" w:rsidP="007F6529">
            <w:pPr>
              <w:spacing w:line="220" w:lineRule="exact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又は、自発光しているものの輝度</w:t>
            </w: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779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780" w:type="dxa"/>
          </w:tcPr>
          <w:p w:rsidR="005667FA" w:rsidRPr="00F74689" w:rsidRDefault="005667FA" w:rsidP="007F6529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F74689">
              <w:rPr>
                <w:rFonts w:hint="eastAsia"/>
                <w:sz w:val="18"/>
                <w:szCs w:val="18"/>
              </w:rPr>
              <w:t>1000</w:t>
            </w:r>
          </w:p>
        </w:tc>
      </w:tr>
    </w:tbl>
    <w:p w:rsidR="005667FA" w:rsidRPr="00FB63D4" w:rsidRDefault="005667FA" w:rsidP="005667FA">
      <w:pPr>
        <w:rPr>
          <w:szCs w:val="21"/>
        </w:rPr>
      </w:pPr>
    </w:p>
    <w:p w:rsidR="005667FA" w:rsidRPr="005667FA" w:rsidRDefault="005667FA" w:rsidP="004525B4">
      <w:pPr>
        <w:spacing w:line="400" w:lineRule="exact"/>
        <w:rPr>
          <w:rFonts w:ascii="HG丸ｺﾞｼｯｸM-PRO" w:eastAsia="HG丸ｺﾞｼｯｸM-PRO" w:hAnsi="HG丸ｺﾞｼｯｸM-PRO"/>
          <w:sz w:val="26"/>
          <w:szCs w:val="26"/>
        </w:rPr>
      </w:pPr>
      <w:bookmarkStart w:id="0" w:name="_GoBack"/>
      <w:bookmarkEnd w:id="0"/>
    </w:p>
    <w:sectPr w:rsidR="005667FA" w:rsidRPr="005667FA" w:rsidSect="003821BB">
      <w:footerReference w:type="default" r:id="rId9"/>
      <w:pgSz w:w="11906" w:h="16838" w:code="9"/>
      <w:pgMar w:top="1134" w:right="1304" w:bottom="1134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71" w:rsidRDefault="001E7171" w:rsidP="004376C5">
      <w:r>
        <w:separator/>
      </w:r>
    </w:p>
  </w:endnote>
  <w:endnote w:type="continuationSeparator" w:id="0">
    <w:p w:rsidR="001E7171" w:rsidRDefault="001E7171" w:rsidP="0043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BB" w:rsidRDefault="003821BB">
    <w:pPr>
      <w:pStyle w:val="a5"/>
      <w:jc w:val="center"/>
    </w:pPr>
  </w:p>
  <w:p w:rsidR="003821BB" w:rsidRDefault="003821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71" w:rsidRDefault="001E7171" w:rsidP="004376C5">
      <w:r>
        <w:separator/>
      </w:r>
    </w:p>
  </w:footnote>
  <w:footnote w:type="continuationSeparator" w:id="0">
    <w:p w:rsidR="001E7171" w:rsidRDefault="001E7171" w:rsidP="0043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069"/>
    <w:multiLevelType w:val="hybridMultilevel"/>
    <w:tmpl w:val="AC5E45CC"/>
    <w:lvl w:ilvl="0" w:tplc="F6CCB26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8455424"/>
    <w:multiLevelType w:val="hybridMultilevel"/>
    <w:tmpl w:val="4BEC1588"/>
    <w:lvl w:ilvl="0" w:tplc="0FD012E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9013E30"/>
    <w:multiLevelType w:val="hybridMultilevel"/>
    <w:tmpl w:val="1786E346"/>
    <w:lvl w:ilvl="0" w:tplc="594C2D96">
      <w:start w:val="3"/>
      <w:numFmt w:val="bullet"/>
      <w:lvlText w:val="●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>
    <w:nsid w:val="73CC245F"/>
    <w:multiLevelType w:val="hybridMultilevel"/>
    <w:tmpl w:val="314A4810"/>
    <w:lvl w:ilvl="0" w:tplc="531CED0C">
      <w:numFmt w:val="bullet"/>
      <w:lvlText w:val="○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4">
    <w:nsid w:val="760A3A65"/>
    <w:multiLevelType w:val="hybridMultilevel"/>
    <w:tmpl w:val="62247A62"/>
    <w:lvl w:ilvl="0" w:tplc="B8AE6E00">
      <w:start w:val="3"/>
      <w:numFmt w:val="bullet"/>
      <w:lvlText w:val="●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7C7D19F0"/>
    <w:multiLevelType w:val="hybridMultilevel"/>
    <w:tmpl w:val="68AAD30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E"/>
    <w:rsid w:val="00001C6A"/>
    <w:rsid w:val="00066E51"/>
    <w:rsid w:val="000C36F3"/>
    <w:rsid w:val="000E6ACE"/>
    <w:rsid w:val="00162E22"/>
    <w:rsid w:val="001636FB"/>
    <w:rsid w:val="001E7171"/>
    <w:rsid w:val="002B5A28"/>
    <w:rsid w:val="002B734A"/>
    <w:rsid w:val="00300797"/>
    <w:rsid w:val="00305950"/>
    <w:rsid w:val="003114CC"/>
    <w:rsid w:val="0033033C"/>
    <w:rsid w:val="003821BB"/>
    <w:rsid w:val="00384E5C"/>
    <w:rsid w:val="003D14AF"/>
    <w:rsid w:val="00406B77"/>
    <w:rsid w:val="00414F20"/>
    <w:rsid w:val="004376C5"/>
    <w:rsid w:val="004476C7"/>
    <w:rsid w:val="004525B4"/>
    <w:rsid w:val="00457955"/>
    <w:rsid w:val="00467533"/>
    <w:rsid w:val="0048167B"/>
    <w:rsid w:val="00484997"/>
    <w:rsid w:val="004B282B"/>
    <w:rsid w:val="004E6A12"/>
    <w:rsid w:val="00561EB3"/>
    <w:rsid w:val="005667FA"/>
    <w:rsid w:val="005A4211"/>
    <w:rsid w:val="00675AAD"/>
    <w:rsid w:val="00694B1D"/>
    <w:rsid w:val="006A1A15"/>
    <w:rsid w:val="006B1527"/>
    <w:rsid w:val="006E5FB7"/>
    <w:rsid w:val="0071414A"/>
    <w:rsid w:val="00732F31"/>
    <w:rsid w:val="00741C43"/>
    <w:rsid w:val="0075676D"/>
    <w:rsid w:val="007B3F3C"/>
    <w:rsid w:val="00871716"/>
    <w:rsid w:val="008A5586"/>
    <w:rsid w:val="00935A6D"/>
    <w:rsid w:val="00965114"/>
    <w:rsid w:val="00982DF4"/>
    <w:rsid w:val="0099337F"/>
    <w:rsid w:val="009C5201"/>
    <w:rsid w:val="009D47B2"/>
    <w:rsid w:val="009F4FFB"/>
    <w:rsid w:val="00A010AA"/>
    <w:rsid w:val="00A41DCD"/>
    <w:rsid w:val="00AF675F"/>
    <w:rsid w:val="00B0729A"/>
    <w:rsid w:val="00CE3DEE"/>
    <w:rsid w:val="00CF3627"/>
    <w:rsid w:val="00D00C85"/>
    <w:rsid w:val="00D03431"/>
    <w:rsid w:val="00D817F9"/>
    <w:rsid w:val="00DD235D"/>
    <w:rsid w:val="00DE3B2F"/>
    <w:rsid w:val="00DF36BB"/>
    <w:rsid w:val="00E5138B"/>
    <w:rsid w:val="00EA304A"/>
    <w:rsid w:val="00EC5934"/>
    <w:rsid w:val="00EE4A9A"/>
    <w:rsid w:val="00FA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6C5"/>
  </w:style>
  <w:style w:type="paragraph" w:styleId="a5">
    <w:name w:val="footer"/>
    <w:basedOn w:val="a"/>
    <w:link w:val="a6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6C5"/>
  </w:style>
  <w:style w:type="paragraph" w:styleId="a7">
    <w:name w:val="List Paragraph"/>
    <w:basedOn w:val="a"/>
    <w:uiPriority w:val="34"/>
    <w:qFormat/>
    <w:rsid w:val="003D14AF"/>
    <w:pPr>
      <w:ind w:leftChars="400" w:left="840"/>
    </w:pPr>
  </w:style>
  <w:style w:type="table" w:styleId="a8">
    <w:name w:val="Table Grid"/>
    <w:basedOn w:val="a1"/>
    <w:uiPriority w:val="59"/>
    <w:rsid w:val="0056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76C5"/>
  </w:style>
  <w:style w:type="paragraph" w:styleId="a5">
    <w:name w:val="footer"/>
    <w:basedOn w:val="a"/>
    <w:link w:val="a6"/>
    <w:uiPriority w:val="99"/>
    <w:unhideWhenUsed/>
    <w:rsid w:val="00437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76C5"/>
  </w:style>
  <w:style w:type="paragraph" w:styleId="a7">
    <w:name w:val="List Paragraph"/>
    <w:basedOn w:val="a"/>
    <w:uiPriority w:val="34"/>
    <w:qFormat/>
    <w:rsid w:val="003D14AF"/>
    <w:pPr>
      <w:ind w:leftChars="400" w:left="840"/>
    </w:pPr>
  </w:style>
  <w:style w:type="table" w:styleId="a8">
    <w:name w:val="Table Grid"/>
    <w:basedOn w:val="a1"/>
    <w:uiPriority w:val="59"/>
    <w:rsid w:val="0056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4A53-F0AC-400E-9B13-402ED8A2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2014-10-14T02:01:00Z</cp:lastPrinted>
  <dcterms:created xsi:type="dcterms:W3CDTF">2018-01-19T00:37:00Z</dcterms:created>
  <dcterms:modified xsi:type="dcterms:W3CDTF">2018-01-19T00:37:00Z</dcterms:modified>
</cp:coreProperties>
</file>