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E5" w:rsidRPr="009C1AA4" w:rsidRDefault="001C02BB" w:rsidP="00C81EA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C1AA4">
        <w:rPr>
          <w:rFonts w:asciiTheme="majorEastAsia" w:eastAsiaTheme="majorEastAsia" w:hAnsiTheme="majorEastAsia" w:hint="eastAsia"/>
          <w:b/>
          <w:sz w:val="28"/>
          <w:szCs w:val="28"/>
        </w:rPr>
        <w:t>古市古墳群部会</w:t>
      </w:r>
      <w:r w:rsidR="00C86F63" w:rsidRPr="009C1AA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81EA2" w:rsidRPr="009C1AA4">
        <w:rPr>
          <w:rFonts w:asciiTheme="majorEastAsia" w:eastAsiaTheme="majorEastAsia" w:hAnsiTheme="majorEastAsia" w:hint="eastAsia"/>
          <w:b/>
          <w:sz w:val="28"/>
          <w:szCs w:val="28"/>
        </w:rPr>
        <w:t>部会資料</w:t>
      </w:r>
    </w:p>
    <w:p w:rsidR="00C7426D" w:rsidRPr="00C81EA2" w:rsidRDefault="00C81EA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4C6C" wp14:editId="5E807E8F">
                <wp:simplePos x="0" y="0"/>
                <wp:positionH relativeFrom="column">
                  <wp:posOffset>-3810</wp:posOffset>
                </wp:positionH>
                <wp:positionV relativeFrom="paragraph">
                  <wp:posOffset>394335</wp:posOffset>
                </wp:positionV>
                <wp:extent cx="5629275" cy="619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19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3pt;margin-top:31.05pt;width:44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" filled="f" strokecolor="#243f60 [1604]" strokeweight="2pt"/>
            </w:pict>
          </mc:Fallback>
        </mc:AlternateContent>
      </w:r>
      <w:r w:rsidRPr="00C81EA2">
        <w:rPr>
          <w:rFonts w:asciiTheme="majorEastAsia" w:eastAsiaTheme="majorEastAsia" w:hAnsiTheme="majorEastAsia" w:hint="eastAsia"/>
          <w:b/>
          <w:sz w:val="28"/>
          <w:szCs w:val="28"/>
        </w:rPr>
        <w:t>１．諮問内容</w:t>
      </w:r>
    </w:p>
    <w:p w:rsidR="00C81EA2" w:rsidRDefault="00C81EA2" w:rsidP="00C81EA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26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大阪府屋外広告物条例の適用される藤井寺市、羽曳野市にまたがる古市古墳群緩衝地帯</w:t>
      </w:r>
      <w:r w:rsidR="00D27F20">
        <w:rPr>
          <w:rFonts w:hint="eastAsia"/>
          <w:sz w:val="24"/>
          <w:szCs w:val="24"/>
        </w:rPr>
        <w:t>（別紙１）</w:t>
      </w:r>
      <w:r>
        <w:rPr>
          <w:rFonts w:hint="eastAsia"/>
          <w:sz w:val="24"/>
          <w:szCs w:val="24"/>
        </w:rPr>
        <w:t>における屋外広告物の規制内容</w:t>
      </w:r>
    </w:p>
    <w:p w:rsidR="006D2631" w:rsidRDefault="006D2631" w:rsidP="006D2631">
      <w:pPr>
        <w:ind w:left="480" w:hangingChars="200" w:hanging="480"/>
        <w:rPr>
          <w:sz w:val="24"/>
          <w:szCs w:val="24"/>
        </w:rPr>
      </w:pPr>
    </w:p>
    <w:p w:rsidR="00C86F63" w:rsidRDefault="00C81EA2" w:rsidP="006D2631">
      <w:pPr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  <w:r w:rsidRPr="00C81EA2">
        <w:rPr>
          <w:rFonts w:asciiTheme="majorEastAsia" w:eastAsiaTheme="majorEastAsia" w:hAnsiTheme="majorEastAsia" w:hint="eastAsia"/>
          <w:b/>
          <w:sz w:val="28"/>
          <w:szCs w:val="28"/>
        </w:rPr>
        <w:t>２．</w:t>
      </w:r>
      <w:r w:rsidR="00C86F63" w:rsidRPr="00C81EA2">
        <w:rPr>
          <w:rFonts w:asciiTheme="majorEastAsia" w:eastAsiaTheme="majorEastAsia" w:hAnsiTheme="majorEastAsia" w:hint="eastAsia"/>
          <w:b/>
          <w:sz w:val="28"/>
          <w:szCs w:val="28"/>
        </w:rPr>
        <w:t>現況調査</w:t>
      </w:r>
    </w:p>
    <w:p w:rsidR="006D2631" w:rsidRDefault="006D2631" w:rsidP="006D263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各市で実施した現況調査の結果を示す。不適格の基準は、「緩衝地帯における</w:t>
      </w:r>
    </w:p>
    <w:p w:rsidR="00E32F63" w:rsidRDefault="006D2631" w:rsidP="006D2631">
      <w:pPr>
        <w:ind w:leftChars="100" w:left="45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規制方針（案）」（別紙２）である。</w:t>
      </w:r>
    </w:p>
    <w:p w:rsidR="00E32F63" w:rsidRDefault="00E32F63" w:rsidP="00E32F63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（１）プロット図（別紙３）</w:t>
      </w:r>
    </w:p>
    <w:p w:rsidR="00B15BBB" w:rsidRDefault="00B15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32F6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）藤井寺市</w:t>
      </w:r>
      <w:r w:rsidR="00E32F63">
        <w:rPr>
          <w:rFonts w:hint="eastAsia"/>
          <w:sz w:val="24"/>
          <w:szCs w:val="24"/>
        </w:rPr>
        <w:t>調査結果概要</w:t>
      </w:r>
      <w:r w:rsidR="00E32F63">
        <w:rPr>
          <w:rFonts w:hint="eastAsia"/>
          <w:sz w:val="24"/>
          <w:szCs w:val="24"/>
        </w:rPr>
        <w:t xml:space="preserve"> </w:t>
      </w:r>
      <w:r w:rsidR="009C1AA4">
        <w:rPr>
          <w:rFonts w:hint="eastAsia"/>
          <w:sz w:val="24"/>
          <w:szCs w:val="24"/>
        </w:rPr>
        <w:t>（別紙</w:t>
      </w:r>
      <w:r w:rsidR="00E32F63">
        <w:rPr>
          <w:rFonts w:hint="eastAsia"/>
          <w:sz w:val="24"/>
          <w:szCs w:val="24"/>
        </w:rPr>
        <w:t>４－１</w:t>
      </w:r>
      <w:r w:rsidR="009C1AA4">
        <w:rPr>
          <w:rFonts w:hint="eastAsia"/>
          <w:sz w:val="24"/>
          <w:szCs w:val="24"/>
        </w:rPr>
        <w:t>）</w:t>
      </w:r>
    </w:p>
    <w:p w:rsidR="001C02BB" w:rsidRDefault="00B15BBB" w:rsidP="00E32F6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32F6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）羽曳野市</w:t>
      </w:r>
      <w:r w:rsidR="00E32F63">
        <w:rPr>
          <w:rFonts w:hint="eastAsia"/>
          <w:sz w:val="24"/>
          <w:szCs w:val="24"/>
        </w:rPr>
        <w:t>調査結果概要</w:t>
      </w:r>
      <w:r w:rsidR="00E32F63">
        <w:rPr>
          <w:rFonts w:hint="eastAsia"/>
          <w:sz w:val="24"/>
          <w:szCs w:val="24"/>
        </w:rPr>
        <w:t xml:space="preserve"> </w:t>
      </w:r>
      <w:r w:rsidR="00E32F63">
        <w:rPr>
          <w:rFonts w:hint="eastAsia"/>
          <w:sz w:val="24"/>
          <w:szCs w:val="24"/>
        </w:rPr>
        <w:t>（</w:t>
      </w:r>
      <w:r w:rsidR="009C1AA4">
        <w:rPr>
          <w:rFonts w:hint="eastAsia"/>
          <w:sz w:val="24"/>
          <w:szCs w:val="24"/>
        </w:rPr>
        <w:t>別紙</w:t>
      </w:r>
      <w:r w:rsidR="00D27F20">
        <w:rPr>
          <w:rFonts w:hint="eastAsia"/>
          <w:sz w:val="24"/>
          <w:szCs w:val="24"/>
        </w:rPr>
        <w:t>４</w:t>
      </w:r>
      <w:r w:rsidR="00E32F63">
        <w:rPr>
          <w:rFonts w:hint="eastAsia"/>
          <w:sz w:val="24"/>
          <w:szCs w:val="24"/>
        </w:rPr>
        <w:t>－２</w:t>
      </w:r>
      <w:r w:rsidR="009C1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86F63" w:rsidRPr="00E32F63" w:rsidRDefault="00C86F63">
      <w:pPr>
        <w:rPr>
          <w:sz w:val="24"/>
          <w:szCs w:val="24"/>
        </w:rPr>
      </w:pPr>
    </w:p>
    <w:p w:rsidR="001C02BB" w:rsidRPr="009C1AA4" w:rsidRDefault="009C1AA4">
      <w:pPr>
        <w:rPr>
          <w:rFonts w:asciiTheme="majorEastAsia" w:eastAsiaTheme="majorEastAsia" w:hAnsiTheme="majorEastAsia"/>
          <w:b/>
          <w:sz w:val="28"/>
          <w:szCs w:val="28"/>
        </w:rPr>
      </w:pPr>
      <w:r w:rsidRPr="009C1AA4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1C02BB" w:rsidRPr="009C1AA4">
        <w:rPr>
          <w:rFonts w:asciiTheme="majorEastAsia" w:eastAsiaTheme="majorEastAsia" w:hAnsiTheme="majorEastAsia" w:hint="eastAsia"/>
          <w:b/>
          <w:sz w:val="28"/>
          <w:szCs w:val="28"/>
        </w:rPr>
        <w:t>．</w:t>
      </w:r>
      <w:r w:rsidR="006D2631" w:rsidRPr="009C1AA4">
        <w:rPr>
          <w:rFonts w:asciiTheme="majorEastAsia" w:eastAsiaTheme="majorEastAsia" w:hAnsiTheme="majorEastAsia" w:hint="eastAsia"/>
          <w:b/>
          <w:sz w:val="28"/>
          <w:szCs w:val="28"/>
        </w:rPr>
        <w:t>藤井寺市</w:t>
      </w:r>
      <w:r w:rsidR="006D2631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1C02BB" w:rsidRPr="009C1AA4">
        <w:rPr>
          <w:rFonts w:asciiTheme="majorEastAsia" w:eastAsiaTheme="majorEastAsia" w:hAnsiTheme="majorEastAsia" w:hint="eastAsia"/>
          <w:b/>
          <w:sz w:val="28"/>
          <w:szCs w:val="28"/>
        </w:rPr>
        <w:t>羽曳野市、</w:t>
      </w:r>
      <w:r w:rsidR="006D2631" w:rsidRPr="009C1AA4">
        <w:rPr>
          <w:rFonts w:asciiTheme="majorEastAsia" w:eastAsiaTheme="majorEastAsia" w:hAnsiTheme="majorEastAsia" w:hint="eastAsia"/>
          <w:b/>
          <w:sz w:val="28"/>
          <w:szCs w:val="28"/>
        </w:rPr>
        <w:t>大阪府</w:t>
      </w:r>
      <w:r w:rsidR="001C02BB" w:rsidRPr="009C1AA4">
        <w:rPr>
          <w:rFonts w:asciiTheme="majorEastAsia" w:eastAsiaTheme="majorEastAsia" w:hAnsiTheme="majorEastAsia" w:hint="eastAsia"/>
          <w:b/>
          <w:sz w:val="28"/>
          <w:szCs w:val="28"/>
        </w:rPr>
        <w:t>の景観計画等における位置づけ</w:t>
      </w:r>
    </w:p>
    <w:p w:rsidR="001C02BB" w:rsidRPr="00936D3D" w:rsidRDefault="00C86F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古墳を活かしたまちづくり</w:t>
      </w:r>
      <w:r w:rsidR="009C1AA4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景観計画にどのように位置づけられているか</w:t>
      </w:r>
    </w:p>
    <w:p w:rsidR="001C02BB" w:rsidRDefault="00B15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（１）藤井寺市景観計画</w:t>
      </w:r>
      <w:r w:rsidR="009C1AA4">
        <w:rPr>
          <w:rFonts w:hint="eastAsia"/>
          <w:sz w:val="24"/>
          <w:szCs w:val="24"/>
        </w:rPr>
        <w:t>（別紙</w:t>
      </w:r>
      <w:r w:rsidR="00D27F20">
        <w:rPr>
          <w:rFonts w:hint="eastAsia"/>
          <w:sz w:val="24"/>
          <w:szCs w:val="24"/>
        </w:rPr>
        <w:t>５</w:t>
      </w:r>
      <w:r w:rsidR="009C1AA4">
        <w:rPr>
          <w:rFonts w:hint="eastAsia"/>
          <w:sz w:val="24"/>
          <w:szCs w:val="24"/>
        </w:rPr>
        <w:t>）</w:t>
      </w:r>
    </w:p>
    <w:p w:rsidR="00B15BBB" w:rsidRDefault="00B15BBB">
      <w:pPr>
        <w:rPr>
          <w:sz w:val="24"/>
          <w:szCs w:val="24"/>
        </w:rPr>
      </w:pPr>
    </w:p>
    <w:p w:rsidR="00B15BBB" w:rsidRDefault="00B15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（２）羽曳野市景観計画</w:t>
      </w:r>
      <w:r w:rsidR="00DB1BD8">
        <w:rPr>
          <w:rFonts w:hint="eastAsia"/>
          <w:sz w:val="24"/>
          <w:szCs w:val="24"/>
        </w:rPr>
        <w:t>（案）</w:t>
      </w:r>
      <w:r w:rsidR="009C1AA4">
        <w:rPr>
          <w:rFonts w:hint="eastAsia"/>
          <w:sz w:val="24"/>
          <w:szCs w:val="24"/>
        </w:rPr>
        <w:t>（別紙</w:t>
      </w:r>
      <w:r w:rsidR="00D27F20">
        <w:rPr>
          <w:rFonts w:hint="eastAsia"/>
          <w:sz w:val="24"/>
          <w:szCs w:val="24"/>
        </w:rPr>
        <w:t>６</w:t>
      </w:r>
      <w:r w:rsidR="009C1AA4">
        <w:rPr>
          <w:rFonts w:hint="eastAsia"/>
          <w:sz w:val="24"/>
          <w:szCs w:val="24"/>
        </w:rPr>
        <w:t>）</w:t>
      </w:r>
    </w:p>
    <w:p w:rsidR="00EE2FE9" w:rsidRDefault="00EE2FE9">
      <w:pPr>
        <w:rPr>
          <w:sz w:val="24"/>
          <w:szCs w:val="24"/>
        </w:rPr>
      </w:pPr>
    </w:p>
    <w:p w:rsidR="00EE2FE9" w:rsidRPr="00936D3D" w:rsidRDefault="00EE2F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（３）大阪府景観形成基本方針</w:t>
      </w:r>
      <w:r w:rsidR="009C1AA4">
        <w:rPr>
          <w:rFonts w:hint="eastAsia"/>
          <w:sz w:val="24"/>
          <w:szCs w:val="24"/>
        </w:rPr>
        <w:t>（別紙</w:t>
      </w:r>
      <w:r w:rsidR="00D27F20">
        <w:rPr>
          <w:rFonts w:hint="eastAsia"/>
          <w:sz w:val="24"/>
          <w:szCs w:val="24"/>
        </w:rPr>
        <w:t>７</w:t>
      </w:r>
      <w:r w:rsidR="009C1AA4">
        <w:rPr>
          <w:rFonts w:hint="eastAsia"/>
          <w:sz w:val="24"/>
          <w:szCs w:val="24"/>
        </w:rPr>
        <w:t>）</w:t>
      </w:r>
    </w:p>
    <w:p w:rsidR="001C02BB" w:rsidRPr="00C86F63" w:rsidRDefault="001C02BB">
      <w:pPr>
        <w:rPr>
          <w:sz w:val="24"/>
          <w:szCs w:val="24"/>
        </w:rPr>
      </w:pPr>
    </w:p>
    <w:p w:rsidR="001C02BB" w:rsidRDefault="009C1AA4">
      <w:pPr>
        <w:rPr>
          <w:rFonts w:asciiTheme="majorEastAsia" w:eastAsiaTheme="majorEastAsia" w:hAnsiTheme="majorEastAsia"/>
          <w:b/>
          <w:sz w:val="28"/>
          <w:szCs w:val="28"/>
        </w:rPr>
      </w:pPr>
      <w:r w:rsidRPr="009C1AA4">
        <w:rPr>
          <w:rFonts w:asciiTheme="majorEastAsia" w:eastAsiaTheme="majorEastAsia" w:hAnsiTheme="majorEastAsia" w:hint="eastAsia"/>
          <w:b/>
          <w:sz w:val="28"/>
          <w:szCs w:val="28"/>
        </w:rPr>
        <w:t>４．</w:t>
      </w:r>
      <w:r w:rsidR="001C02BB" w:rsidRPr="009C1AA4">
        <w:rPr>
          <w:rFonts w:asciiTheme="majorEastAsia" w:eastAsiaTheme="majorEastAsia" w:hAnsiTheme="majorEastAsia" w:hint="eastAsia"/>
          <w:b/>
          <w:sz w:val="28"/>
          <w:szCs w:val="28"/>
        </w:rPr>
        <w:t>規制内容の検討</w:t>
      </w:r>
    </w:p>
    <w:p w:rsidR="006D2631" w:rsidRDefault="006D2631" w:rsidP="006D263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「緩衝地帯における規制方針」（案）は景観および屋外広告物規制の観点から妥</w:t>
      </w:r>
    </w:p>
    <w:p w:rsidR="006D2631" w:rsidRPr="006D2631" w:rsidRDefault="006D2631" w:rsidP="006D2631">
      <w:pPr>
        <w:ind w:leftChars="100" w:left="450" w:hangingChars="100" w:hanging="2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sz w:val="24"/>
          <w:szCs w:val="24"/>
        </w:rPr>
        <w:t>当か</w:t>
      </w:r>
    </w:p>
    <w:p w:rsidR="00B37121" w:rsidRDefault="001C02BB" w:rsidP="00B37121">
      <w:pPr>
        <w:rPr>
          <w:sz w:val="24"/>
          <w:szCs w:val="24"/>
        </w:rPr>
      </w:pPr>
      <w:r w:rsidRPr="00936D3D">
        <w:rPr>
          <w:rFonts w:hint="eastAsia"/>
          <w:sz w:val="24"/>
          <w:szCs w:val="24"/>
        </w:rPr>
        <w:t>（１）規制としての妥当性</w:t>
      </w:r>
      <w:r w:rsidR="00B37121">
        <w:rPr>
          <w:rFonts w:hint="eastAsia"/>
          <w:sz w:val="24"/>
          <w:szCs w:val="24"/>
        </w:rPr>
        <w:t>（別紙８）（別紙２）</w:t>
      </w:r>
    </w:p>
    <w:p w:rsidR="00B4750A" w:rsidRDefault="00B47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「緩衝地帯における規制方針」</w:t>
      </w:r>
      <w:r w:rsidR="00DB1BD8">
        <w:rPr>
          <w:rFonts w:hint="eastAsia"/>
          <w:sz w:val="24"/>
          <w:szCs w:val="24"/>
        </w:rPr>
        <w:t>（案）</w:t>
      </w:r>
    </w:p>
    <w:p w:rsidR="006A4E9E" w:rsidRDefault="006A4E9E">
      <w:pPr>
        <w:rPr>
          <w:sz w:val="24"/>
          <w:szCs w:val="24"/>
        </w:rPr>
      </w:pPr>
    </w:p>
    <w:p w:rsidR="00B4750A" w:rsidRPr="00936D3D" w:rsidRDefault="00B47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D2631">
        <w:rPr>
          <w:rFonts w:hint="eastAsia"/>
          <w:sz w:val="24"/>
          <w:szCs w:val="24"/>
        </w:rPr>
        <w:t>その他の検討項目</w:t>
      </w:r>
      <w:r>
        <w:rPr>
          <w:rFonts w:hint="eastAsia"/>
          <w:sz w:val="24"/>
          <w:szCs w:val="24"/>
        </w:rPr>
        <w:t xml:space="preserve">　</w:t>
      </w:r>
    </w:p>
    <w:p w:rsidR="001C02BB" w:rsidRPr="00936D3D" w:rsidRDefault="001C02BB">
      <w:pPr>
        <w:rPr>
          <w:sz w:val="24"/>
          <w:szCs w:val="24"/>
        </w:rPr>
      </w:pPr>
      <w:r w:rsidRPr="00936D3D">
        <w:rPr>
          <w:rFonts w:hint="eastAsia"/>
          <w:sz w:val="24"/>
          <w:szCs w:val="24"/>
        </w:rPr>
        <w:t xml:space="preserve">　　①　適用除外</w:t>
      </w:r>
      <w:r w:rsidR="006D2631">
        <w:rPr>
          <w:rFonts w:hint="eastAsia"/>
          <w:sz w:val="24"/>
          <w:szCs w:val="24"/>
        </w:rPr>
        <w:t>広告物</w:t>
      </w:r>
      <w:r w:rsidRPr="00936D3D">
        <w:rPr>
          <w:rFonts w:hint="eastAsia"/>
          <w:sz w:val="24"/>
          <w:szCs w:val="24"/>
        </w:rPr>
        <w:t>の扱い</w:t>
      </w:r>
    </w:p>
    <w:p w:rsidR="001C02BB" w:rsidRDefault="001C02BB" w:rsidP="00283E2F">
      <w:pPr>
        <w:ind w:left="960" w:hangingChars="400" w:hanging="960"/>
        <w:rPr>
          <w:sz w:val="24"/>
          <w:szCs w:val="24"/>
        </w:rPr>
      </w:pPr>
      <w:r w:rsidRPr="00936D3D">
        <w:rPr>
          <w:rFonts w:hint="eastAsia"/>
          <w:sz w:val="24"/>
          <w:szCs w:val="24"/>
        </w:rPr>
        <w:t xml:space="preserve">　</w:t>
      </w:r>
      <w:r w:rsidR="00283E2F">
        <w:rPr>
          <w:rFonts w:hint="eastAsia"/>
          <w:sz w:val="24"/>
          <w:szCs w:val="24"/>
        </w:rPr>
        <w:t xml:space="preserve">　　　自家用広告物は７㎡まで</w:t>
      </w:r>
      <w:r w:rsidR="006D2631">
        <w:rPr>
          <w:rFonts w:hint="eastAsia"/>
          <w:sz w:val="24"/>
          <w:szCs w:val="24"/>
        </w:rPr>
        <w:t>許可なく</w:t>
      </w:r>
      <w:r w:rsidR="00283E2F">
        <w:rPr>
          <w:rFonts w:hint="eastAsia"/>
          <w:sz w:val="24"/>
          <w:szCs w:val="24"/>
        </w:rPr>
        <w:t>掲出できるが、規制としての実効性を確保するため</w:t>
      </w:r>
      <w:r w:rsidR="007C3AD7">
        <w:rPr>
          <w:rFonts w:hint="eastAsia"/>
          <w:sz w:val="24"/>
          <w:szCs w:val="24"/>
        </w:rPr>
        <w:t>規制</w:t>
      </w:r>
      <w:r w:rsidR="006D2631">
        <w:rPr>
          <w:rFonts w:hint="eastAsia"/>
          <w:sz w:val="24"/>
          <w:szCs w:val="24"/>
        </w:rPr>
        <w:t>方針（案）</w:t>
      </w:r>
      <w:r w:rsidR="007C3AD7">
        <w:rPr>
          <w:rFonts w:hint="eastAsia"/>
          <w:sz w:val="24"/>
          <w:szCs w:val="24"/>
        </w:rPr>
        <w:t>に抵触するものは適用除外として扱わない。</w:t>
      </w:r>
    </w:p>
    <w:p w:rsidR="001C02BB" w:rsidRPr="00936D3D" w:rsidRDefault="00C86F63" w:rsidP="00C86F6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1C02BB" w:rsidRPr="00936D3D">
        <w:rPr>
          <w:rFonts w:hint="eastAsia"/>
          <w:sz w:val="24"/>
          <w:szCs w:val="24"/>
        </w:rPr>
        <w:t>経過措置</w:t>
      </w:r>
      <w:r w:rsidR="00B37121">
        <w:rPr>
          <w:rFonts w:hint="eastAsia"/>
          <w:sz w:val="24"/>
          <w:szCs w:val="24"/>
        </w:rPr>
        <w:t>（別紙９）</w:t>
      </w:r>
    </w:p>
    <w:p w:rsidR="001C02BB" w:rsidRDefault="001C02BB">
      <w:pPr>
        <w:rPr>
          <w:sz w:val="24"/>
          <w:szCs w:val="24"/>
        </w:rPr>
      </w:pPr>
      <w:r w:rsidRPr="00936D3D">
        <w:rPr>
          <w:rFonts w:hint="eastAsia"/>
          <w:sz w:val="24"/>
          <w:szCs w:val="24"/>
        </w:rPr>
        <w:t xml:space="preserve">　　</w:t>
      </w:r>
      <w:r w:rsidR="007C3AD7">
        <w:rPr>
          <w:rFonts w:hint="eastAsia"/>
          <w:sz w:val="24"/>
          <w:szCs w:val="24"/>
        </w:rPr>
        <w:t xml:space="preserve">　　</w:t>
      </w:r>
      <w:r w:rsidR="00B4750A">
        <w:rPr>
          <w:rFonts w:hint="eastAsia"/>
          <w:sz w:val="24"/>
          <w:szCs w:val="24"/>
        </w:rPr>
        <w:t>経過措置期間中に是正計画を提出するよう指導</w:t>
      </w:r>
    </w:p>
    <w:p w:rsidR="00E93677" w:rsidRDefault="00E93677">
      <w:pPr>
        <w:rPr>
          <w:sz w:val="24"/>
          <w:szCs w:val="24"/>
        </w:rPr>
      </w:pPr>
    </w:p>
    <w:p w:rsidR="00E93677" w:rsidRPr="00E93677" w:rsidRDefault="00E936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（３）その他</w:t>
      </w:r>
    </w:p>
    <w:sectPr w:rsidR="00E93677" w:rsidRPr="00E93677" w:rsidSect="009C1AA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2C" w:rsidRDefault="001A412C" w:rsidP="004D2F25">
      <w:r>
        <w:separator/>
      </w:r>
    </w:p>
  </w:endnote>
  <w:endnote w:type="continuationSeparator" w:id="0">
    <w:p w:rsidR="001A412C" w:rsidRDefault="001A412C" w:rsidP="004D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2C" w:rsidRDefault="001A412C" w:rsidP="004D2F25">
      <w:r>
        <w:separator/>
      </w:r>
    </w:p>
  </w:footnote>
  <w:footnote w:type="continuationSeparator" w:id="0">
    <w:p w:rsidR="001A412C" w:rsidRDefault="001A412C" w:rsidP="004D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BB"/>
    <w:rsid w:val="001A412C"/>
    <w:rsid w:val="001C02BB"/>
    <w:rsid w:val="001F33E5"/>
    <w:rsid w:val="00216A2C"/>
    <w:rsid w:val="00283E2F"/>
    <w:rsid w:val="004D2F25"/>
    <w:rsid w:val="00596346"/>
    <w:rsid w:val="006A4E9E"/>
    <w:rsid w:val="006D2631"/>
    <w:rsid w:val="007C3AD7"/>
    <w:rsid w:val="00936D3D"/>
    <w:rsid w:val="009B2AE4"/>
    <w:rsid w:val="009C1AA4"/>
    <w:rsid w:val="00A3046C"/>
    <w:rsid w:val="00B15BBB"/>
    <w:rsid w:val="00B37121"/>
    <w:rsid w:val="00B4750A"/>
    <w:rsid w:val="00C7426D"/>
    <w:rsid w:val="00C81EA2"/>
    <w:rsid w:val="00C86F63"/>
    <w:rsid w:val="00D27F20"/>
    <w:rsid w:val="00DB1BD8"/>
    <w:rsid w:val="00E32F63"/>
    <w:rsid w:val="00E36D50"/>
    <w:rsid w:val="00E93677"/>
    <w:rsid w:val="00E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F25"/>
  </w:style>
  <w:style w:type="paragraph" w:styleId="a5">
    <w:name w:val="footer"/>
    <w:basedOn w:val="a"/>
    <w:link w:val="a6"/>
    <w:uiPriority w:val="99"/>
    <w:unhideWhenUsed/>
    <w:rsid w:val="004D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F25"/>
  </w:style>
  <w:style w:type="paragraph" w:styleId="a5">
    <w:name w:val="footer"/>
    <w:basedOn w:val="a"/>
    <w:link w:val="a6"/>
    <w:uiPriority w:val="99"/>
    <w:unhideWhenUsed/>
    <w:rsid w:val="004D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2014-07-10T00:42:00Z</cp:lastPrinted>
  <dcterms:created xsi:type="dcterms:W3CDTF">2014-07-08T02:05:00Z</dcterms:created>
  <dcterms:modified xsi:type="dcterms:W3CDTF">2014-08-06T01:56:00Z</dcterms:modified>
</cp:coreProperties>
</file>