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286" w:type="dxa"/>
        <w:tblLayout w:type="fixed"/>
        <w:tblCellMar>
          <w:top w:w="28" w:type="dxa"/>
          <w:bottom w:w="28" w:type="dxa"/>
        </w:tblCellMar>
        <w:tblLook w:val="04A0" w:firstRow="1" w:lastRow="0" w:firstColumn="1" w:lastColumn="0" w:noHBand="0" w:noVBand="1"/>
      </w:tblPr>
      <w:tblGrid>
        <w:gridCol w:w="9286"/>
      </w:tblGrid>
      <w:tr w:rsidR="00386945" w:rsidRPr="00386945" w:rsidTr="00F86243">
        <w:trPr>
          <w:trHeight w:val="12916"/>
        </w:trPr>
        <w:tc>
          <w:tcPr>
            <w:tcW w:w="9286" w:type="dxa"/>
          </w:tcPr>
          <w:p w:rsidR="00F21B27" w:rsidRPr="00386945" w:rsidRDefault="002C1699" w:rsidP="00F61ECE">
            <w:pPr>
              <w:autoSpaceDE w:val="0"/>
              <w:autoSpaceDN w:val="0"/>
              <w:spacing w:line="360" w:lineRule="exact"/>
              <w:ind w:firstLineChars="3775" w:firstLine="8079"/>
              <w:jc w:val="right"/>
              <w:rPr>
                <w:rFonts w:ascii="ＭＳ ゴシック" w:eastAsia="ＭＳ ゴシック" w:hAnsi="ＭＳ ゴシック"/>
                <w:spacing w:val="2"/>
                <w:kern w:val="0"/>
                <w:szCs w:val="20"/>
              </w:rPr>
            </w:pPr>
            <w:r w:rsidRPr="00386945">
              <w:rPr>
                <w:rFonts w:ascii="ＭＳ ゴシック" w:eastAsia="ＭＳ ゴシック" w:hAnsi="ＭＳ ゴシック" w:hint="eastAsia"/>
                <w:spacing w:val="2"/>
                <w:kern w:val="0"/>
                <w:szCs w:val="20"/>
                <w:bdr w:val="single" w:sz="4" w:space="0" w:color="auto"/>
              </w:rPr>
              <w:t>審査基準</w:t>
            </w:r>
          </w:p>
          <w:p w:rsidR="009244AD" w:rsidRPr="00386945" w:rsidRDefault="009244AD" w:rsidP="00F61ECE">
            <w:pPr>
              <w:autoSpaceDE w:val="0"/>
              <w:autoSpaceDN w:val="0"/>
              <w:spacing w:line="360" w:lineRule="exact"/>
              <w:jc w:val="center"/>
              <w:rPr>
                <w:rFonts w:ascii="ＭＳ ゴシック" w:eastAsia="ＭＳ ゴシック" w:hAnsi="ＭＳ ゴシック"/>
                <w:b/>
                <w:spacing w:val="2"/>
                <w:kern w:val="0"/>
                <w:szCs w:val="21"/>
              </w:rPr>
            </w:pPr>
          </w:p>
          <w:p w:rsidR="00F21B27" w:rsidRPr="00EB1C27" w:rsidRDefault="002C1699" w:rsidP="00B360FD">
            <w:pPr>
              <w:spacing w:line="360" w:lineRule="exact"/>
              <w:ind w:firstLineChars="100" w:firstLine="210"/>
              <w:rPr>
                <w:rFonts w:ascii="ＭＳ ゴシック" w:eastAsia="ＭＳ ゴシック" w:hAnsi="ＭＳ ゴシック"/>
                <w:bCs/>
                <w:szCs w:val="21"/>
              </w:rPr>
            </w:pPr>
            <w:bookmarkStart w:id="0" w:name="_GoBack"/>
            <w:bookmarkEnd w:id="0"/>
            <w:r w:rsidRPr="00EB1C27">
              <w:rPr>
                <w:rFonts w:ascii="ＭＳ ゴシック" w:eastAsia="ＭＳ ゴシック" w:hAnsi="ＭＳ ゴシック" w:cs="ＭＳ 明朝" w:hint="eastAsia"/>
                <w:szCs w:val="21"/>
              </w:rPr>
              <w:t>「都市計画法第</w:t>
            </w:r>
            <w:r w:rsidRPr="00EB1C27">
              <w:rPr>
                <w:rFonts w:ascii="ＭＳ ゴシック" w:eastAsia="ＭＳ ゴシック" w:hAnsi="ＭＳ ゴシック" w:cs="ＭＳ 明朝"/>
                <w:szCs w:val="21"/>
              </w:rPr>
              <w:t>34条</w:t>
            </w:r>
            <w:r w:rsidR="002D3150" w:rsidRPr="00EB1C27">
              <w:rPr>
                <w:rFonts w:ascii="ＭＳ ゴシック" w:eastAsia="ＭＳ ゴシック" w:hAnsi="ＭＳ ゴシック" w:cs="ＭＳ 明朝" w:hint="eastAsia"/>
                <w:szCs w:val="21"/>
              </w:rPr>
              <w:t>第</w:t>
            </w:r>
            <w:r w:rsidR="002D3150" w:rsidRPr="00EB1C27">
              <w:rPr>
                <w:rFonts w:ascii="ＭＳ ゴシック" w:eastAsia="ＭＳ ゴシック" w:hAnsi="ＭＳ ゴシック" w:cs="ＭＳ 明朝"/>
                <w:szCs w:val="21"/>
              </w:rPr>
              <w:t>14号</w:t>
            </w:r>
            <w:r w:rsidRPr="00EB1C27">
              <w:rPr>
                <w:rFonts w:ascii="ＭＳ ゴシック" w:eastAsia="ＭＳ ゴシック" w:hAnsi="ＭＳ ゴシック" w:cs="ＭＳ 明朝" w:hint="eastAsia"/>
                <w:szCs w:val="21"/>
              </w:rPr>
              <w:t>及び都市計画法施行令第</w:t>
            </w:r>
            <w:r w:rsidRPr="00EB1C27">
              <w:rPr>
                <w:rFonts w:ascii="ＭＳ ゴシック" w:eastAsia="ＭＳ ゴシック" w:hAnsi="ＭＳ ゴシック" w:cs="ＭＳ 明朝"/>
                <w:szCs w:val="21"/>
              </w:rPr>
              <w:t>36条第１項第３号ホに関する判断基準」第５における</w:t>
            </w:r>
            <w:r w:rsidRPr="00EB1C27">
              <w:rPr>
                <w:rFonts w:ascii="ＭＳ ゴシック" w:eastAsia="ＭＳ ゴシック" w:hAnsi="ＭＳ ゴシック" w:hint="eastAsia"/>
                <w:bCs/>
                <w:szCs w:val="21"/>
              </w:rPr>
              <w:t>土砂災害警戒区域</w:t>
            </w:r>
            <w:r w:rsidR="00FC2CAE" w:rsidRPr="00EB1C27">
              <w:rPr>
                <w:rFonts w:ascii="ＭＳ ゴシック" w:eastAsia="ＭＳ ゴシック" w:hAnsi="ＭＳ ゴシック" w:hint="eastAsia"/>
                <w:bCs/>
                <w:szCs w:val="21"/>
              </w:rPr>
              <w:t>での開発行為等</w:t>
            </w:r>
            <w:r w:rsidRPr="00EB1C27">
              <w:rPr>
                <w:rFonts w:ascii="ＭＳ ゴシック" w:eastAsia="ＭＳ ゴシック" w:hAnsi="ＭＳ ゴシック" w:hint="eastAsia"/>
                <w:bCs/>
                <w:szCs w:val="21"/>
              </w:rPr>
              <w:t>に関する取扱い</w:t>
            </w:r>
          </w:p>
          <w:p w:rsidR="00F21B27" w:rsidRPr="00386945" w:rsidRDefault="00F21B27" w:rsidP="00F61ECE">
            <w:pPr>
              <w:spacing w:line="360" w:lineRule="exact"/>
              <w:rPr>
                <w:rFonts w:ascii="ＭＳ 明朝" w:hAnsi="ＭＳ 明朝"/>
              </w:rPr>
            </w:pPr>
          </w:p>
          <w:p w:rsidR="00F21B27" w:rsidRPr="00EB1C27" w:rsidRDefault="002C1699" w:rsidP="00F61ECE">
            <w:pPr>
              <w:spacing w:line="360" w:lineRule="exact"/>
              <w:jc w:val="left"/>
              <w:rPr>
                <w:rFonts w:ascii="ＭＳ ゴシック" w:eastAsia="ＭＳ ゴシック" w:hAnsi="ＭＳ ゴシック" w:cs="ＭＳ ゴシック"/>
                <w:szCs w:val="21"/>
              </w:rPr>
            </w:pPr>
            <w:r w:rsidRPr="00EB1C27">
              <w:rPr>
                <w:rFonts w:ascii="ＭＳ ゴシック" w:eastAsia="ＭＳ ゴシック" w:hAnsi="ＭＳ ゴシック" w:cs="ＭＳ ゴシック" w:hint="eastAsia"/>
                <w:bCs/>
                <w:szCs w:val="21"/>
              </w:rPr>
              <w:t>（目的）</w:t>
            </w:r>
          </w:p>
          <w:p w:rsidR="00F21B27" w:rsidRPr="00386945" w:rsidRDefault="002C1699" w:rsidP="00010F91">
            <w:pPr>
              <w:spacing w:line="360" w:lineRule="exact"/>
              <w:ind w:left="220" w:hangingChars="110" w:hanging="220"/>
              <w:jc w:val="left"/>
              <w:rPr>
                <w:rFonts w:ascii="ＭＳ 明朝" w:hAnsi="ＭＳ 明朝" w:cs="ＭＳ 明朝"/>
                <w:sz w:val="20"/>
                <w:szCs w:val="20"/>
              </w:rPr>
            </w:pPr>
            <w:r w:rsidRPr="00EB1C27">
              <w:rPr>
                <w:rFonts w:ascii="ＭＳ ゴシック" w:eastAsia="ＭＳ ゴシック" w:hAnsi="ＭＳ ゴシック" w:cs="ＭＳ 明朝" w:hint="eastAsia"/>
                <w:bCs/>
                <w:sz w:val="20"/>
                <w:szCs w:val="20"/>
              </w:rPr>
              <w:t>第１</w:t>
            </w:r>
            <w:r w:rsidRPr="00386945">
              <w:rPr>
                <w:rFonts w:ascii="ＭＳ 明朝" w:hAnsi="ＭＳ 明朝" w:cs="ＭＳ 明朝" w:hint="eastAsia"/>
                <w:sz w:val="20"/>
                <w:szCs w:val="20"/>
              </w:rPr>
              <w:t xml:space="preserve">　この基準は「都市計画法第34条</w:t>
            </w:r>
            <w:r w:rsidR="002D3150" w:rsidRPr="00386945">
              <w:rPr>
                <w:rFonts w:ascii="ＭＳ 明朝" w:hAnsi="ＭＳ 明朝" w:cs="ＭＳ 明朝" w:hint="eastAsia"/>
                <w:sz w:val="20"/>
                <w:szCs w:val="20"/>
              </w:rPr>
              <w:t>第</w:t>
            </w:r>
            <w:r w:rsidR="002D3150" w:rsidRPr="00386945">
              <w:rPr>
                <w:rFonts w:ascii="ＭＳ 明朝" w:hAnsi="ＭＳ 明朝" w:cs="ＭＳ 明朝"/>
                <w:sz w:val="20"/>
                <w:szCs w:val="20"/>
              </w:rPr>
              <w:t>14号</w:t>
            </w:r>
            <w:r w:rsidRPr="00386945">
              <w:rPr>
                <w:rFonts w:ascii="ＭＳ 明朝" w:hAnsi="ＭＳ 明朝" w:cs="ＭＳ 明朝" w:hint="eastAsia"/>
                <w:sz w:val="20"/>
                <w:szCs w:val="20"/>
              </w:rPr>
              <w:t>及び都市計画法施行令第36条第１項第３号ホに関する判断基準」第５に</w:t>
            </w:r>
            <w:r w:rsidR="00186D0F" w:rsidRPr="00386945">
              <w:rPr>
                <w:rFonts w:ascii="ＭＳ 明朝" w:hAnsi="ＭＳ 明朝" w:cs="ＭＳ 明朝" w:hint="eastAsia"/>
                <w:sz w:val="20"/>
                <w:szCs w:val="20"/>
              </w:rPr>
              <w:t>おける</w:t>
            </w:r>
            <w:r w:rsidR="00620D6E" w:rsidRPr="00386945">
              <w:rPr>
                <w:rFonts w:ascii="ＭＳ 明朝" w:hAnsi="ＭＳ 明朝" w:cs="ＭＳ 明朝" w:hint="eastAsia"/>
                <w:sz w:val="20"/>
                <w:szCs w:val="20"/>
              </w:rPr>
              <w:t>令第29条の９第４号に掲げる</w:t>
            </w:r>
            <w:r w:rsidRPr="00386945">
              <w:rPr>
                <w:rFonts w:ascii="ＭＳ 明朝" w:hAnsi="ＭＳ 明朝" w:cs="ＭＳ 明朝" w:hint="eastAsia"/>
                <w:sz w:val="20"/>
                <w:szCs w:val="20"/>
              </w:rPr>
              <w:t>「土砂災害警戒区域等における土砂災害防止対策の推進に関する法律（以下「土砂災害防止法」という。）」第７条第１項の土砂災害警戒区域</w:t>
            </w:r>
            <w:r w:rsidR="00010F91" w:rsidRPr="00386945">
              <w:rPr>
                <w:rFonts w:ascii="ＭＳ 明朝" w:hAnsi="ＭＳ 明朝" w:hint="eastAsia"/>
                <w:sz w:val="32"/>
                <w:szCs w:val="32"/>
                <w:vertAlign w:val="superscript"/>
              </w:rPr>
              <w:t>※</w:t>
            </w:r>
            <w:r w:rsidRPr="00386945">
              <w:rPr>
                <w:rFonts w:ascii="ＭＳ 明朝" w:hAnsi="ＭＳ 明朝" w:cs="ＭＳ 明朝" w:hint="eastAsia"/>
                <w:sz w:val="20"/>
                <w:szCs w:val="20"/>
              </w:rPr>
              <w:t>に</w:t>
            </w:r>
            <w:r w:rsidR="00186D0F" w:rsidRPr="00386945">
              <w:rPr>
                <w:rFonts w:ascii="ＭＳ 明朝" w:hAnsi="ＭＳ 明朝" w:cs="ＭＳ 明朝" w:hint="eastAsia"/>
                <w:sz w:val="20"/>
                <w:szCs w:val="20"/>
              </w:rPr>
              <w:t>関する取扱いに</w:t>
            </w:r>
            <w:r w:rsidRPr="00386945">
              <w:rPr>
                <w:rFonts w:ascii="ＭＳ 明朝" w:hAnsi="ＭＳ 明朝" w:cs="ＭＳ 明朝" w:hint="eastAsia"/>
                <w:sz w:val="20"/>
                <w:szCs w:val="20"/>
              </w:rPr>
              <w:t>ついて、必要な事項を定めることにより、都市計画法（以下「法」という。）の適正な運用を図ることを目的とする。</w:t>
            </w:r>
          </w:p>
          <w:p w:rsidR="00F21B27" w:rsidRPr="00EB1C27" w:rsidRDefault="002C1699">
            <w:pPr>
              <w:spacing w:line="360" w:lineRule="exact"/>
              <w:rPr>
                <w:rFonts w:ascii="ＭＳ ゴシック" w:eastAsia="ＭＳ ゴシック" w:hAnsi="ＭＳ ゴシック" w:cs="ＭＳ 明朝"/>
                <w:bCs/>
                <w:szCs w:val="21"/>
              </w:rPr>
            </w:pPr>
            <w:r w:rsidRPr="00EB1C27">
              <w:rPr>
                <w:rFonts w:ascii="ＭＳ ゴシック" w:eastAsia="ＭＳ ゴシック" w:hAnsi="ＭＳ ゴシック" w:cs="ＭＳ 明朝" w:hint="eastAsia"/>
                <w:bCs/>
                <w:szCs w:val="21"/>
              </w:rPr>
              <w:t>（適用の範囲）</w:t>
            </w:r>
          </w:p>
          <w:p w:rsidR="00F21B27" w:rsidRPr="00386945" w:rsidRDefault="002C1699" w:rsidP="00F61ECE">
            <w:pPr>
              <w:spacing w:line="360" w:lineRule="exact"/>
              <w:ind w:left="202" w:hangingChars="101" w:hanging="202"/>
              <w:rPr>
                <w:rFonts w:ascii="ＭＳ 明朝" w:hAnsi="ＭＳ 明朝" w:cs="ＭＳ 明朝"/>
                <w:sz w:val="20"/>
                <w:szCs w:val="20"/>
              </w:rPr>
            </w:pPr>
            <w:r w:rsidRPr="00EB1C27">
              <w:rPr>
                <w:rFonts w:ascii="ＭＳ ゴシック" w:eastAsia="ＭＳ ゴシック" w:hAnsi="ＭＳ ゴシック" w:cs="ＭＳ 明朝" w:hint="eastAsia"/>
                <w:bCs/>
                <w:sz w:val="20"/>
                <w:szCs w:val="20"/>
              </w:rPr>
              <w:t>第２</w:t>
            </w:r>
            <w:r w:rsidRPr="00386945">
              <w:rPr>
                <w:rFonts w:ascii="ＭＳ 明朝" w:hAnsi="ＭＳ 明朝" w:cs="ＭＳ 明朝" w:hint="eastAsia"/>
                <w:sz w:val="20"/>
                <w:szCs w:val="20"/>
              </w:rPr>
              <w:t xml:space="preserve">　土砂災害警戒区域であっても、法第18条の２の規定により市町村が策定する都市計画マスタープラン等において、社会経済活動や地域のコミュニティの維持等に関する定めがあり、建築物等の立地を図ることがやむを得ないものとして、その必要性並びにその方策が位置づけられている区域に該当するとの市町村長の申出があり、あらかじめ知事が指定する区域であって、第３による対策を講じられている場合は、開発</w:t>
            </w:r>
            <w:r w:rsidR="00156BBA" w:rsidRPr="00386945">
              <w:rPr>
                <w:rFonts w:ascii="ＭＳ 明朝" w:hAnsi="ＭＳ 明朝" w:cs="ＭＳ 明朝" w:hint="eastAsia"/>
                <w:sz w:val="20"/>
                <w:szCs w:val="20"/>
              </w:rPr>
              <w:t>区域</w:t>
            </w:r>
            <w:r w:rsidR="005D18AF" w:rsidRPr="00386945">
              <w:rPr>
                <w:rFonts w:ascii="ＭＳ 明朝" w:hAnsi="ＭＳ 明朝" w:cs="ＭＳ 明朝" w:hint="eastAsia"/>
                <w:sz w:val="20"/>
                <w:szCs w:val="20"/>
              </w:rPr>
              <w:t>又は</w:t>
            </w:r>
            <w:r w:rsidRPr="00386945">
              <w:rPr>
                <w:rFonts w:ascii="ＭＳ 明朝" w:hAnsi="ＭＳ 明朝" w:cs="ＭＳ 明朝" w:hint="eastAsia"/>
                <w:sz w:val="20"/>
                <w:szCs w:val="20"/>
              </w:rPr>
              <w:t>建築</w:t>
            </w:r>
            <w:r w:rsidR="00156BBA" w:rsidRPr="00386945">
              <w:rPr>
                <w:rFonts w:ascii="ＭＳ 明朝" w:hAnsi="ＭＳ 明朝" w:cs="ＭＳ 明朝" w:hint="eastAsia"/>
                <w:sz w:val="20"/>
                <w:szCs w:val="20"/>
              </w:rPr>
              <w:t>敷地</w:t>
            </w:r>
            <w:r w:rsidRPr="00386945">
              <w:rPr>
                <w:rFonts w:ascii="ＭＳ 明朝" w:hAnsi="ＭＳ 明朝" w:cs="ＭＳ 明朝" w:hint="eastAsia"/>
                <w:sz w:val="20"/>
                <w:szCs w:val="20"/>
              </w:rPr>
              <w:t>とすることができる。</w:t>
            </w:r>
          </w:p>
          <w:p w:rsidR="00F21B27" w:rsidRPr="00EB1C27" w:rsidRDefault="002C1699">
            <w:pPr>
              <w:spacing w:line="360" w:lineRule="exact"/>
              <w:rPr>
                <w:rFonts w:ascii="ＭＳ ゴシック" w:eastAsia="ＭＳ ゴシック" w:hAnsi="ＭＳ ゴシック" w:cs="ＭＳ 明朝"/>
                <w:bCs/>
                <w:szCs w:val="21"/>
              </w:rPr>
            </w:pPr>
            <w:r w:rsidRPr="00EB1C27">
              <w:rPr>
                <w:rFonts w:ascii="ＭＳ ゴシック" w:eastAsia="ＭＳ ゴシック" w:hAnsi="ＭＳ ゴシック" w:cs="ＭＳ 明朝" w:hint="eastAsia"/>
                <w:bCs/>
                <w:szCs w:val="21"/>
              </w:rPr>
              <w:t>（安全上及び避難上の対策）</w:t>
            </w:r>
          </w:p>
          <w:p w:rsidR="00F21B27" w:rsidRPr="00386945" w:rsidRDefault="002C1699" w:rsidP="00F61ECE">
            <w:pPr>
              <w:spacing w:line="360" w:lineRule="exact"/>
              <w:ind w:leftChars="17" w:left="192" w:hangingChars="78" w:hanging="156"/>
              <w:jc w:val="left"/>
              <w:rPr>
                <w:rFonts w:ascii="ＭＳ 明朝" w:hAnsi="ＭＳ 明朝" w:cs="ＭＳ ゴシック"/>
                <w:sz w:val="20"/>
                <w:szCs w:val="20"/>
              </w:rPr>
            </w:pPr>
            <w:r w:rsidRPr="00EB1C27">
              <w:rPr>
                <w:rFonts w:ascii="ＭＳ ゴシック" w:eastAsia="ＭＳ ゴシック" w:hAnsi="ＭＳ ゴシック" w:cs="ＭＳ 明朝" w:hint="eastAsia"/>
                <w:bCs/>
                <w:sz w:val="20"/>
                <w:szCs w:val="20"/>
              </w:rPr>
              <w:t>第３</w:t>
            </w:r>
            <w:r w:rsidRPr="00386945">
              <w:rPr>
                <w:rFonts w:ascii="ＭＳ ゴシック" w:eastAsia="ＭＳ ゴシック" w:hAnsi="ＭＳ ゴシック" w:cs="ＭＳ 明朝" w:hint="eastAsia"/>
                <w:b/>
                <w:bCs/>
                <w:sz w:val="20"/>
                <w:szCs w:val="20"/>
              </w:rPr>
              <w:t xml:space="preserve">　</w:t>
            </w:r>
            <w:r w:rsidRPr="00386945">
              <w:rPr>
                <w:rFonts w:ascii="ＭＳ 明朝" w:hAnsi="ＭＳ 明朝" w:cs="ＭＳ ゴシック" w:hint="eastAsia"/>
                <w:sz w:val="20"/>
                <w:szCs w:val="20"/>
              </w:rPr>
              <w:t>第２で定める対策については、次の各号のいずれかに該当するものであること。</w:t>
            </w:r>
          </w:p>
          <w:p w:rsidR="00F21B27" w:rsidRPr="00386945" w:rsidRDefault="002C1699" w:rsidP="00F61ECE">
            <w:pPr>
              <w:spacing w:line="360" w:lineRule="exact"/>
              <w:ind w:left="306" w:hangingChars="153" w:hanging="306"/>
              <w:rPr>
                <w:rFonts w:ascii="ＭＳ 明朝" w:hAnsi="ＭＳ 明朝"/>
                <w:sz w:val="20"/>
                <w:szCs w:val="20"/>
              </w:rPr>
            </w:pPr>
            <w:r w:rsidRPr="00386945">
              <w:rPr>
                <w:rFonts w:ascii="ＭＳ 明朝" w:hAnsi="ＭＳ 明朝" w:hint="eastAsia"/>
                <w:sz w:val="20"/>
                <w:szCs w:val="20"/>
              </w:rPr>
              <w:t>（1）土砂災害が発生した場合に、土砂災害防止法第８条第１項に基づき市町村地域防災計画に定められた同項第２号の避難場所への確実な避難にあたり、</w:t>
            </w:r>
            <w:r w:rsidR="00620D6E" w:rsidRPr="00386945">
              <w:rPr>
                <w:rFonts w:ascii="ＭＳ 明朝" w:hAnsi="ＭＳ 明朝" w:hint="eastAsia"/>
                <w:sz w:val="20"/>
                <w:szCs w:val="20"/>
              </w:rPr>
              <w:t>開発行為</w:t>
            </w:r>
            <w:r w:rsidR="00DA0C68" w:rsidRPr="00386945">
              <w:rPr>
                <w:rFonts w:ascii="ＭＳ 明朝" w:hAnsi="ＭＳ 明朝" w:hint="eastAsia"/>
                <w:sz w:val="20"/>
                <w:szCs w:val="20"/>
              </w:rPr>
              <w:t>及び建築行為</w:t>
            </w:r>
            <w:r w:rsidR="00620D6E" w:rsidRPr="00386945">
              <w:rPr>
                <w:rFonts w:ascii="ＭＳ 明朝" w:hAnsi="ＭＳ 明朝" w:hint="eastAsia"/>
                <w:sz w:val="20"/>
                <w:szCs w:val="20"/>
              </w:rPr>
              <w:t>をしようとする者、</w:t>
            </w:r>
            <w:r w:rsidRPr="00386945">
              <w:rPr>
                <w:rFonts w:ascii="ＭＳ 明朝" w:hAnsi="ＭＳ 明朝" w:hint="eastAsia"/>
                <w:sz w:val="20"/>
                <w:szCs w:val="20"/>
              </w:rPr>
              <w:t>建築物の所有者、占有者又は管理者</w:t>
            </w:r>
            <w:r w:rsidR="00620D6E" w:rsidRPr="00386945">
              <w:rPr>
                <w:rFonts w:ascii="ＭＳ 明朝" w:hAnsi="ＭＳ 明朝" w:hint="eastAsia"/>
                <w:sz w:val="20"/>
                <w:szCs w:val="20"/>
              </w:rPr>
              <w:t>等</w:t>
            </w:r>
            <w:r w:rsidRPr="00386945">
              <w:rPr>
                <w:rFonts w:ascii="ＭＳ 明朝" w:hAnsi="ＭＳ 明朝" w:hint="eastAsia"/>
                <w:sz w:val="20"/>
                <w:szCs w:val="20"/>
              </w:rPr>
              <w:t>により作成された避難確保計画の市町村長への報告、同計画に基づいた避難誘導等の訓練の実施、かつ訓練結果報告を受けた市町村からの助言・勧告を踏まえた同計画や避難訓練等の内容を見直しが徹底されると認められるもの。</w:t>
            </w:r>
          </w:p>
          <w:p w:rsidR="00F21B27" w:rsidRPr="00386945" w:rsidRDefault="002C1699" w:rsidP="00F61ECE">
            <w:pPr>
              <w:spacing w:line="360" w:lineRule="exact"/>
              <w:ind w:left="306" w:hangingChars="153" w:hanging="306"/>
              <w:rPr>
                <w:rFonts w:ascii="ＭＳ 明朝" w:hAnsi="ＭＳ 明朝"/>
                <w:sz w:val="20"/>
                <w:szCs w:val="20"/>
              </w:rPr>
            </w:pPr>
            <w:r w:rsidRPr="00386945">
              <w:rPr>
                <w:rFonts w:ascii="ＭＳ 明朝" w:hAnsi="ＭＳ 明朝" w:hint="eastAsia"/>
                <w:sz w:val="20"/>
                <w:szCs w:val="20"/>
              </w:rPr>
              <w:t>（2）土砂災害を防止し、又は軽減するための施設の整備等の防災対策が実施されているもの。</w:t>
            </w:r>
          </w:p>
          <w:p w:rsidR="00F21B27" w:rsidRPr="00386945" w:rsidRDefault="002C1699" w:rsidP="00F61ECE">
            <w:pPr>
              <w:spacing w:line="360" w:lineRule="exact"/>
              <w:ind w:left="306" w:hangingChars="153" w:hanging="306"/>
              <w:rPr>
                <w:rFonts w:ascii="ＭＳ 明朝" w:hAnsi="ＭＳ 明朝"/>
                <w:sz w:val="20"/>
                <w:szCs w:val="20"/>
              </w:rPr>
            </w:pPr>
            <w:r w:rsidRPr="00386945">
              <w:rPr>
                <w:rFonts w:ascii="ＭＳ 明朝" w:hAnsi="ＭＳ 明朝" w:hint="eastAsia"/>
                <w:sz w:val="20"/>
                <w:szCs w:val="20"/>
              </w:rPr>
              <w:t>（3）建築基準法施行令第80条の３において規定される、土砂災害特別警戒区域内における居室を有する建築物の構造について定める構造方法を用いるものを準用するもの。</w:t>
            </w:r>
          </w:p>
          <w:p w:rsidR="00F21B27" w:rsidRPr="00386945" w:rsidRDefault="002C1699" w:rsidP="00F61ECE">
            <w:pPr>
              <w:spacing w:line="360" w:lineRule="exact"/>
              <w:ind w:left="306" w:hangingChars="153" w:hanging="306"/>
              <w:rPr>
                <w:rFonts w:ascii="ＭＳ 明朝" w:hAnsi="ＭＳ 明朝"/>
                <w:sz w:val="20"/>
                <w:szCs w:val="20"/>
              </w:rPr>
            </w:pPr>
            <w:r w:rsidRPr="00386945">
              <w:rPr>
                <w:rFonts w:ascii="ＭＳ 明朝" w:hAnsi="ＭＳ 明朝" w:hint="eastAsia"/>
                <w:sz w:val="20"/>
                <w:szCs w:val="20"/>
              </w:rPr>
              <w:t>（4）　上記（1）から（3）のいずれかと同等以上の安全性が確保されると認められるもの。</w:t>
            </w:r>
          </w:p>
          <w:p w:rsidR="00F21B27" w:rsidRPr="00386945" w:rsidRDefault="002C1699" w:rsidP="00F61ECE">
            <w:pPr>
              <w:spacing w:line="360" w:lineRule="exact"/>
              <w:ind w:leftChars="17" w:left="192" w:hangingChars="78" w:hanging="156"/>
              <w:jc w:val="left"/>
              <w:rPr>
                <w:rFonts w:ascii="ＭＳ ゴシック" w:eastAsia="ＭＳ ゴシック" w:hAnsi="ＭＳ ゴシック"/>
                <w:b/>
                <w:sz w:val="20"/>
                <w:szCs w:val="20"/>
              </w:rPr>
            </w:pPr>
            <w:r w:rsidRPr="00F86243">
              <w:rPr>
                <w:rFonts w:ascii="ＭＳ ゴシック" w:eastAsia="ＭＳ ゴシック" w:hAnsi="ＭＳ ゴシック" w:hint="eastAsia"/>
                <w:sz w:val="20"/>
                <w:szCs w:val="20"/>
              </w:rPr>
              <w:t xml:space="preserve">２　</w:t>
            </w:r>
            <w:r w:rsidRPr="00386945">
              <w:rPr>
                <w:rFonts w:ascii="ＭＳ 明朝" w:hAnsi="ＭＳ 明朝" w:hint="eastAsia"/>
                <w:sz w:val="20"/>
                <w:szCs w:val="20"/>
              </w:rPr>
              <w:t>前項（1）</w:t>
            </w:r>
            <w:r w:rsidRPr="00386945">
              <w:rPr>
                <w:rFonts w:ascii="ＭＳ 明朝" w:hAnsi="ＭＳ 明朝" w:cs="ＭＳ ゴシック" w:hint="eastAsia"/>
                <w:sz w:val="20"/>
                <w:szCs w:val="20"/>
              </w:rPr>
              <w:t>から（4）の場合、</w:t>
            </w:r>
            <w:r w:rsidRPr="00386945">
              <w:rPr>
                <w:rFonts w:ascii="ＭＳ 明朝" w:hAnsi="ＭＳ 明朝" w:cs="ＭＳ 明朝" w:hint="eastAsia"/>
                <w:sz w:val="20"/>
                <w:szCs w:val="20"/>
              </w:rPr>
              <w:t>開発</w:t>
            </w:r>
            <w:r w:rsidR="006E55B3" w:rsidRPr="00386945">
              <w:rPr>
                <w:rFonts w:ascii="ＭＳ 明朝" w:hAnsi="ＭＳ 明朝" w:cs="ＭＳ 明朝" w:hint="eastAsia"/>
                <w:sz w:val="20"/>
                <w:szCs w:val="20"/>
              </w:rPr>
              <w:t>許可又は建築許可</w:t>
            </w:r>
            <w:r w:rsidRPr="00386945">
              <w:rPr>
                <w:rFonts w:ascii="ＭＳ 明朝" w:hAnsi="ＭＳ 明朝" w:cs="ＭＳ ゴシック" w:hint="eastAsia"/>
                <w:sz w:val="20"/>
                <w:szCs w:val="20"/>
              </w:rPr>
              <w:t>の際に、法第41条第１項の制限又は第79条の条件を付することとする。</w:t>
            </w:r>
          </w:p>
          <w:p w:rsidR="00F21B27" w:rsidRPr="00386945" w:rsidRDefault="002C1699">
            <w:pPr>
              <w:spacing w:line="360" w:lineRule="exact"/>
              <w:rPr>
                <w:rFonts w:ascii="ＭＳ 明朝" w:hAnsi="ＭＳ 明朝"/>
                <w:sz w:val="20"/>
                <w:szCs w:val="20"/>
              </w:rPr>
            </w:pPr>
            <w:r w:rsidRPr="00386945">
              <w:rPr>
                <w:rFonts w:ascii="ＭＳ 明朝" w:hAnsi="ＭＳ 明朝" w:hint="eastAsia"/>
                <w:bCs/>
                <w:sz w:val="20"/>
                <w:szCs w:val="20"/>
              </w:rPr>
              <w:t>（附則）</w:t>
            </w:r>
          </w:p>
          <w:p w:rsidR="00F21B27" w:rsidRPr="00386945" w:rsidRDefault="002C1699">
            <w:pPr>
              <w:spacing w:line="360" w:lineRule="exact"/>
              <w:ind w:firstLineChars="100" w:firstLine="200"/>
              <w:rPr>
                <w:rFonts w:ascii="ＭＳ 明朝" w:hAnsi="ＭＳ 明朝"/>
                <w:sz w:val="20"/>
                <w:szCs w:val="20"/>
              </w:rPr>
            </w:pPr>
            <w:r w:rsidRPr="00386945">
              <w:rPr>
                <w:rFonts w:ascii="ＭＳ 明朝" w:hAnsi="ＭＳ 明朝" w:hint="eastAsia"/>
                <w:sz w:val="20"/>
                <w:szCs w:val="20"/>
              </w:rPr>
              <w:t>この基準は、令和４年４月１日から施行する。</w:t>
            </w:r>
          </w:p>
          <w:p w:rsidR="00E94A26" w:rsidRPr="00386945" w:rsidRDefault="00E94A26">
            <w:pPr>
              <w:spacing w:line="360" w:lineRule="exact"/>
              <w:ind w:firstLineChars="100" w:firstLine="200"/>
              <w:rPr>
                <w:rFonts w:ascii="ＭＳ 明朝" w:hAnsi="ＭＳ 明朝"/>
                <w:sz w:val="20"/>
                <w:szCs w:val="20"/>
              </w:rPr>
            </w:pPr>
          </w:p>
          <w:tbl>
            <w:tblPr>
              <w:tblStyle w:val="a9"/>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28" w:type="dxa"/>
                <w:left w:w="85" w:type="dxa"/>
                <w:bottom w:w="28" w:type="dxa"/>
                <w:right w:w="85" w:type="dxa"/>
              </w:tblCellMar>
              <w:tblLook w:val="04A0" w:firstRow="1" w:lastRow="0" w:firstColumn="1" w:lastColumn="0" w:noHBand="0" w:noVBand="1"/>
            </w:tblPr>
            <w:tblGrid>
              <w:gridCol w:w="9060"/>
            </w:tblGrid>
            <w:tr w:rsidR="00386945" w:rsidRPr="00386945" w:rsidTr="00F61ECE">
              <w:tc>
                <w:tcPr>
                  <w:tcW w:w="9060" w:type="dxa"/>
                </w:tcPr>
                <w:p w:rsidR="00E94A26" w:rsidRPr="00386945" w:rsidRDefault="003E5A79" w:rsidP="00E608BD">
                  <w:pPr>
                    <w:spacing w:line="300" w:lineRule="exact"/>
                    <w:ind w:left="216" w:hangingChars="120" w:hanging="216"/>
                    <w:rPr>
                      <w:rFonts w:ascii="ＭＳ 明朝" w:hAnsi="ＭＳ 明朝"/>
                      <w:sz w:val="18"/>
                      <w:szCs w:val="18"/>
                    </w:rPr>
                  </w:pPr>
                  <w:r w:rsidRPr="00386945">
                    <w:rPr>
                      <w:rFonts w:ascii="ＭＳ 明朝" w:hAnsi="ＭＳ 明朝" w:hint="eastAsia"/>
                      <w:sz w:val="18"/>
                      <w:szCs w:val="18"/>
                    </w:rPr>
                    <w:t>※</w:t>
                  </w:r>
                  <w:r w:rsidR="00E608BD" w:rsidRPr="00386945">
                    <w:rPr>
                      <w:rFonts w:ascii="ＭＳ 明朝" w:hAnsi="ＭＳ 明朝" w:hint="eastAsia"/>
                      <w:sz w:val="18"/>
                      <w:szCs w:val="18"/>
                    </w:rPr>
                    <w:t xml:space="preserve">　</w:t>
                  </w:r>
                  <w:r w:rsidR="00E608BD" w:rsidRPr="00386945">
                    <w:rPr>
                      <w:rFonts w:ascii="ＭＳ 明朝" w:hAnsi="ＭＳ 明朝" w:cs="ＭＳ 明朝" w:hint="eastAsia"/>
                      <w:sz w:val="18"/>
                      <w:szCs w:val="18"/>
                    </w:rPr>
                    <w:t>土砂災害警戒区域等における土砂災害防止対策の推進に関する法律第９条第１項の土砂災害特別警戒区域を含む。</w:t>
                  </w:r>
                </w:p>
              </w:tc>
            </w:tr>
          </w:tbl>
          <w:p w:rsidR="00E94A26" w:rsidRPr="00386945" w:rsidRDefault="00E94A26">
            <w:pPr>
              <w:spacing w:line="360" w:lineRule="exact"/>
              <w:ind w:firstLineChars="100" w:firstLine="200"/>
              <w:rPr>
                <w:rFonts w:ascii="ＭＳ 明朝" w:hAnsi="ＭＳ 明朝"/>
                <w:sz w:val="20"/>
                <w:szCs w:val="20"/>
              </w:rPr>
            </w:pPr>
          </w:p>
        </w:tc>
      </w:tr>
    </w:tbl>
    <w:p w:rsidR="00F21B27" w:rsidRDefault="00F21B27">
      <w:pPr>
        <w:rPr>
          <w:rFonts w:ascii="ＭＳ 明朝" w:hAnsi="ＭＳ 明朝"/>
        </w:rPr>
      </w:pPr>
    </w:p>
    <w:sectPr w:rsidR="00F21B27" w:rsidSect="00DC6341">
      <w:headerReference w:type="default" r:id="rId8"/>
      <w:pgSz w:w="11906" w:h="16838" w:code="9"/>
      <w:pgMar w:top="1418" w:right="1418" w:bottom="1134" w:left="1418" w:header="567"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F60" w:rsidRDefault="00AE7F60">
      <w:r>
        <w:separator/>
      </w:r>
    </w:p>
  </w:endnote>
  <w:endnote w:type="continuationSeparator" w:id="0">
    <w:p w:rsidR="00AE7F60" w:rsidRDefault="00AE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F60" w:rsidRDefault="00AE7F60">
      <w:r>
        <w:separator/>
      </w:r>
    </w:p>
  </w:footnote>
  <w:footnote w:type="continuationSeparator" w:id="0">
    <w:p w:rsidR="00AE7F60" w:rsidRDefault="00AE7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B27" w:rsidRDefault="00F21B27">
    <w:pPr>
      <w:pStyle w:val="a7"/>
      <w:ind w:right="160"/>
      <w:jc w:val="right"/>
      <w:rPr>
        <w:rFonts w:ascii="ＭＳ 明朝" w:hAnsi="ＭＳ 明朝"/>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6625" strokecolor="#739cc3">
      <v:fill angle="9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F91"/>
    <w:rsid w:val="000211D9"/>
    <w:rsid w:val="00054D18"/>
    <w:rsid w:val="00087043"/>
    <w:rsid w:val="000A20BF"/>
    <w:rsid w:val="000E0279"/>
    <w:rsid w:val="000E0524"/>
    <w:rsid w:val="000E3BF9"/>
    <w:rsid w:val="000F4F1E"/>
    <w:rsid w:val="00156BBA"/>
    <w:rsid w:val="00172A27"/>
    <w:rsid w:val="0018168B"/>
    <w:rsid w:val="00186D0F"/>
    <w:rsid w:val="0019330F"/>
    <w:rsid w:val="001B76F7"/>
    <w:rsid w:val="001D4192"/>
    <w:rsid w:val="001E0C38"/>
    <w:rsid w:val="001F6E64"/>
    <w:rsid w:val="00210D64"/>
    <w:rsid w:val="002117F9"/>
    <w:rsid w:val="00233AFC"/>
    <w:rsid w:val="00253AB6"/>
    <w:rsid w:val="002652C4"/>
    <w:rsid w:val="00277408"/>
    <w:rsid w:val="002C1699"/>
    <w:rsid w:val="002D3150"/>
    <w:rsid w:val="002D768E"/>
    <w:rsid w:val="003232DC"/>
    <w:rsid w:val="00331923"/>
    <w:rsid w:val="0037133A"/>
    <w:rsid w:val="003743FC"/>
    <w:rsid w:val="00386945"/>
    <w:rsid w:val="00387E25"/>
    <w:rsid w:val="003A145D"/>
    <w:rsid w:val="003C6880"/>
    <w:rsid w:val="003E5A79"/>
    <w:rsid w:val="00401BD7"/>
    <w:rsid w:val="00404E1C"/>
    <w:rsid w:val="00406991"/>
    <w:rsid w:val="00411346"/>
    <w:rsid w:val="004145F0"/>
    <w:rsid w:val="004244E0"/>
    <w:rsid w:val="00457080"/>
    <w:rsid w:val="00466B7D"/>
    <w:rsid w:val="00466F16"/>
    <w:rsid w:val="0047315A"/>
    <w:rsid w:val="00483AE9"/>
    <w:rsid w:val="004D06EB"/>
    <w:rsid w:val="004D0F40"/>
    <w:rsid w:val="004D4A70"/>
    <w:rsid w:val="004F16B9"/>
    <w:rsid w:val="00505496"/>
    <w:rsid w:val="005472CD"/>
    <w:rsid w:val="00560624"/>
    <w:rsid w:val="0057249D"/>
    <w:rsid w:val="005928DE"/>
    <w:rsid w:val="00593369"/>
    <w:rsid w:val="005A3CB6"/>
    <w:rsid w:val="005B777A"/>
    <w:rsid w:val="005D18AF"/>
    <w:rsid w:val="005D350F"/>
    <w:rsid w:val="005F5FF3"/>
    <w:rsid w:val="00605F54"/>
    <w:rsid w:val="006155B0"/>
    <w:rsid w:val="00620D6E"/>
    <w:rsid w:val="0062701E"/>
    <w:rsid w:val="00660A6F"/>
    <w:rsid w:val="00666C83"/>
    <w:rsid w:val="00670F93"/>
    <w:rsid w:val="00681FFD"/>
    <w:rsid w:val="00684C47"/>
    <w:rsid w:val="00697240"/>
    <w:rsid w:val="006C1916"/>
    <w:rsid w:val="006D0E2B"/>
    <w:rsid w:val="006E55B3"/>
    <w:rsid w:val="006F225A"/>
    <w:rsid w:val="00714078"/>
    <w:rsid w:val="00724FD9"/>
    <w:rsid w:val="0072772F"/>
    <w:rsid w:val="007747B7"/>
    <w:rsid w:val="00774BC4"/>
    <w:rsid w:val="007936B8"/>
    <w:rsid w:val="007A0207"/>
    <w:rsid w:val="007B0843"/>
    <w:rsid w:val="007C06AF"/>
    <w:rsid w:val="00812296"/>
    <w:rsid w:val="00847813"/>
    <w:rsid w:val="008622FA"/>
    <w:rsid w:val="00867ECC"/>
    <w:rsid w:val="0089388D"/>
    <w:rsid w:val="008A5F9E"/>
    <w:rsid w:val="008B4D04"/>
    <w:rsid w:val="008B57DB"/>
    <w:rsid w:val="008C3A41"/>
    <w:rsid w:val="008D56B2"/>
    <w:rsid w:val="008E06F3"/>
    <w:rsid w:val="00911BE0"/>
    <w:rsid w:val="00920E03"/>
    <w:rsid w:val="009244AD"/>
    <w:rsid w:val="00957210"/>
    <w:rsid w:val="0097166D"/>
    <w:rsid w:val="0098446D"/>
    <w:rsid w:val="00986372"/>
    <w:rsid w:val="009904F4"/>
    <w:rsid w:val="009956C0"/>
    <w:rsid w:val="009B2E1A"/>
    <w:rsid w:val="009C4A8F"/>
    <w:rsid w:val="009E04DC"/>
    <w:rsid w:val="009E57A8"/>
    <w:rsid w:val="009F1356"/>
    <w:rsid w:val="00A06A87"/>
    <w:rsid w:val="00A15CA7"/>
    <w:rsid w:val="00A65FAB"/>
    <w:rsid w:val="00A9148C"/>
    <w:rsid w:val="00A96189"/>
    <w:rsid w:val="00AB32A3"/>
    <w:rsid w:val="00AC4911"/>
    <w:rsid w:val="00AD4472"/>
    <w:rsid w:val="00AE5215"/>
    <w:rsid w:val="00AE7F60"/>
    <w:rsid w:val="00AF68EC"/>
    <w:rsid w:val="00B005DB"/>
    <w:rsid w:val="00B04033"/>
    <w:rsid w:val="00B26DAD"/>
    <w:rsid w:val="00B32CE4"/>
    <w:rsid w:val="00B360FD"/>
    <w:rsid w:val="00B50A49"/>
    <w:rsid w:val="00B53B88"/>
    <w:rsid w:val="00B80FC2"/>
    <w:rsid w:val="00B81003"/>
    <w:rsid w:val="00B9340D"/>
    <w:rsid w:val="00B96CA7"/>
    <w:rsid w:val="00BB7CEC"/>
    <w:rsid w:val="00BC2547"/>
    <w:rsid w:val="00BC7DEB"/>
    <w:rsid w:val="00BD2731"/>
    <w:rsid w:val="00BE3524"/>
    <w:rsid w:val="00BF5B2F"/>
    <w:rsid w:val="00C16DD7"/>
    <w:rsid w:val="00C4295C"/>
    <w:rsid w:val="00CA280E"/>
    <w:rsid w:val="00CA36DF"/>
    <w:rsid w:val="00CB5D7A"/>
    <w:rsid w:val="00CC28F3"/>
    <w:rsid w:val="00CC362C"/>
    <w:rsid w:val="00CD1D68"/>
    <w:rsid w:val="00CD1D81"/>
    <w:rsid w:val="00CF5B72"/>
    <w:rsid w:val="00D077B8"/>
    <w:rsid w:val="00D855CE"/>
    <w:rsid w:val="00DA0C68"/>
    <w:rsid w:val="00DC6341"/>
    <w:rsid w:val="00E608BD"/>
    <w:rsid w:val="00E62E0F"/>
    <w:rsid w:val="00E636E4"/>
    <w:rsid w:val="00E64895"/>
    <w:rsid w:val="00E718F3"/>
    <w:rsid w:val="00E733F5"/>
    <w:rsid w:val="00E94A26"/>
    <w:rsid w:val="00EB1C27"/>
    <w:rsid w:val="00ED412D"/>
    <w:rsid w:val="00ED5286"/>
    <w:rsid w:val="00EE4D6D"/>
    <w:rsid w:val="00EF7797"/>
    <w:rsid w:val="00F121DE"/>
    <w:rsid w:val="00F123C9"/>
    <w:rsid w:val="00F131FB"/>
    <w:rsid w:val="00F21B27"/>
    <w:rsid w:val="00F4267D"/>
    <w:rsid w:val="00F46D35"/>
    <w:rsid w:val="00F61ECE"/>
    <w:rsid w:val="00F86243"/>
    <w:rsid w:val="00FA6DEF"/>
    <w:rsid w:val="00FB7903"/>
    <w:rsid w:val="00FC2CAE"/>
    <w:rsid w:val="00FD78D0"/>
    <w:rsid w:val="09280434"/>
    <w:rsid w:val="1F9453D2"/>
    <w:rsid w:val="216D017D"/>
    <w:rsid w:val="2972207A"/>
    <w:rsid w:val="2F8903DC"/>
    <w:rsid w:val="3D221BA5"/>
    <w:rsid w:val="56E22789"/>
    <w:rsid w:val="7C111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rokecolor="#739cc3">
      <v:fill angle="90" type="gradient">
        <o:fill v:ext="view" type="gradientUnscaled"/>
      </v:fill>
      <v:stroke color="#739cc3" weight="1.25pt"/>
      <v:textbox inset="5.85pt,.7pt,5.85pt,.7pt"/>
    </o:shapedefaults>
    <o:shapelayout v:ext="edit">
      <o:idmap v:ext="edit" data="1"/>
    </o:shapelayout>
  </w:shapeDefaults>
  <w:decimalSymbol w:val="."/>
  <w:listSeparator w:val=","/>
  <w15:docId w15:val="{68BC9C62-DA61-4C8A-946A-613015E0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游ゴシック Light" w:eastAsia="游ゴシック Light" w:hAnsi="游ゴシック Light"/>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Pr>
      <w:kern w:val="2"/>
      <w:sz w:val="21"/>
      <w:szCs w:val="22"/>
    </w:rPr>
  </w:style>
  <w:style w:type="character" w:customStyle="1" w:styleId="a6">
    <w:name w:val="吹き出し (文字)"/>
    <w:link w:val="a5"/>
    <w:uiPriority w:val="99"/>
    <w:semiHidden/>
    <w:rPr>
      <w:rFonts w:ascii="游ゴシック Light" w:eastAsia="游ゴシック Light" w:hAnsi="游ゴシック Light" w:cs="Times New Roman"/>
      <w:kern w:val="2"/>
      <w:sz w:val="18"/>
      <w:szCs w:val="18"/>
    </w:rPr>
  </w:style>
  <w:style w:type="character" w:customStyle="1" w:styleId="a8">
    <w:name w:val="ヘッダー (文字)"/>
    <w:link w:val="a7"/>
    <w:uiPriority w:val="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A0B16-A3C2-451D-9DB0-858999AB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1042</Words>
  <Characters>40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審査基準</vt:lpstr>
    </vt:vector>
  </TitlesOfParts>
  <Company>大阪府庁</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審査基準</dc:title>
  <dc:creator>USER</dc:creator>
  <cp:lastModifiedBy>堤　幸司</cp:lastModifiedBy>
  <cp:revision>32</cp:revision>
  <cp:lastPrinted>2022-03-31T07:04:00Z</cp:lastPrinted>
  <dcterms:created xsi:type="dcterms:W3CDTF">2022-03-15T08:39:00Z</dcterms:created>
  <dcterms:modified xsi:type="dcterms:W3CDTF">2022-04-19T06:45:00Z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