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  <w:bookmarkStart w:id="0" w:name="_GoBack"/>
      <w:bookmarkEnd w:id="0"/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97A4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B94DBC">
        <w:rPr>
          <w:rFonts w:ascii="HGｺﾞｼｯｸM" w:eastAsia="HGｺﾞｼｯｸM" w:hAnsi="ＭＳ Ｐゴシック" w:hint="eastAsia"/>
          <w:kern w:val="0"/>
          <w:sz w:val="24"/>
        </w:rPr>
        <w:t>1</w:t>
      </w:r>
      <w:r w:rsidR="00EC5BF9">
        <w:rPr>
          <w:rFonts w:ascii="HGｺﾞｼｯｸM" w:eastAsia="HGｺﾞｼｯｸM" w:hAnsi="ＭＳ Ｐゴシック" w:hint="eastAsia"/>
          <w:kern w:val="0"/>
          <w:sz w:val="24"/>
        </w:rPr>
        <w:t>1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4227EE" w:rsidP="004227EE">
      <w:pPr>
        <w:ind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※平成３０年１１月分</w:t>
      </w:r>
      <w:r>
        <w:rPr>
          <w:rFonts w:ascii="HGｺﾞｼｯｸM" w:eastAsia="HGｺﾞｼｯｸM" w:hAnsi="ＭＳ 明朝" w:hint="eastAsia"/>
          <w:sz w:val="18"/>
          <w:szCs w:val="20"/>
        </w:rPr>
        <w:t>結果より全国平均については、従来の公表値から再集計値に変更しています</w:t>
      </w:r>
      <w:r w:rsidRPr="004227EE">
        <w:rPr>
          <w:rFonts w:ascii="HGｺﾞｼｯｸM" w:eastAsia="HGｺﾞｼｯｸM" w:hAnsi="ＭＳ 明朝" w:hint="eastAsia"/>
          <w:sz w:val="18"/>
          <w:szCs w:val="20"/>
        </w:rPr>
        <w:t>。</w:t>
      </w:r>
    </w:p>
    <w:p w:rsidR="004227EE" w:rsidRDefault="004227EE" w:rsidP="004227EE">
      <w:pPr>
        <w:ind w:leftChars="100" w:left="212"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地方調査への影響については、厚生労働省において現在精査中です。</w:t>
      </w:r>
    </w:p>
    <w:p w:rsidR="004227EE" w:rsidRPr="004227EE" w:rsidRDefault="004227EE" w:rsidP="004227EE">
      <w:pPr>
        <w:spacing w:afterLines="50" w:after="185"/>
        <w:ind w:leftChars="100" w:left="212" w:firstLineChars="200" w:firstLine="364"/>
        <w:jc w:val="left"/>
        <w:rPr>
          <w:rFonts w:ascii="HGｺﾞｼｯｸM" w:eastAsia="HGｺﾞｼｯｸM" w:hAnsi="ＭＳ Ｐゴシック"/>
          <w:sz w:val="16"/>
          <w:szCs w:val="18"/>
        </w:rPr>
      </w:pPr>
      <w:r>
        <w:rPr>
          <w:rFonts w:ascii="HGｺﾞｼｯｸM" w:eastAsia="HGｺﾞｼｯｸM" w:hAnsi="ＭＳ 明朝" w:hint="eastAsia"/>
          <w:sz w:val="18"/>
          <w:szCs w:val="20"/>
        </w:rPr>
        <w:t>詳しくはこちら⇒</w:t>
      </w:r>
      <w:hyperlink r:id="rId9" w:history="1">
        <w:r w:rsidRPr="004227EE">
          <w:rPr>
            <w:rStyle w:val="a7"/>
            <w:rFonts w:ascii="HGｺﾞｼｯｸM" w:eastAsia="HGｺﾞｼｯｸM" w:hAnsi="ＭＳ 明朝"/>
            <w:sz w:val="18"/>
            <w:szCs w:val="20"/>
          </w:rPr>
          <w:t>http://www.pref.osaka.lg.jp/toukei/maikin/maikin-chuui.html</w:t>
        </w:r>
      </w:hyperlink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0.2％の減少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87380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187380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08000" cy="284706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8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B94DBC">
        <w:rPr>
          <w:rFonts w:ascii="HGPｺﾞｼｯｸM" w:eastAsia="HGPｺﾞｼｯｸM" w:hAnsi="ＭＳ 明朝"/>
          <w:color w:val="000000" w:themeColor="text1"/>
          <w:sz w:val="22"/>
          <w:szCs w:val="22"/>
        </w:rPr>
        <w:t>102.2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94DBC">
        <w:rPr>
          <w:rFonts w:ascii="HGPｺﾞｼｯｸM" w:eastAsia="HGPｺﾞｼｯｸM" w:hAnsi="ＭＳ 明朝"/>
          <w:color w:val="000000" w:themeColor="text1"/>
          <w:sz w:val="22"/>
          <w:szCs w:val="22"/>
        </w:rPr>
        <w:t>1.1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4227EE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117.3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9.1</w:t>
      </w:r>
      <w:r w:rsidR="00E4468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87380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187380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08000" cy="296139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9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08D8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187380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18738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08000" cy="260010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60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3.36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187380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187380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44000" cy="253707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5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E31D1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E31D1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64509D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7DE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288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22F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509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077DE"/>
    <w:rsid w:val="00E1137B"/>
    <w:rsid w:val="00E11C70"/>
    <w:rsid w:val="00E2233A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maikin-chuu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57CE-8F00-42F0-AFA5-00265886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2019-02-14T09:17:00Z</dcterms:modified>
</cp:coreProperties>
</file>