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EE449E">
        <w:rPr>
          <w:rFonts w:ascii="HGｺﾞｼｯｸM" w:eastAsia="HGｺﾞｼｯｸM" w:hint="eastAsia"/>
          <w:sz w:val="24"/>
        </w:rPr>
        <w:t>３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B37" w:rsidRPr="006727BD" w:rsidRDefault="00B05B37" w:rsidP="00B05B37">
      <w:pPr>
        <w:pStyle w:val="a3"/>
        <w:rPr>
          <w:rFonts w:ascii="HGｺﾞｼｯｸM" w:eastAsia="HGｺﾞｼｯｸM" w:hAnsi="ＭＳ Ｐゴシック"/>
          <w:sz w:val="18"/>
          <w:szCs w:val="18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106.5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2.3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7.6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18.9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101.0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1.1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7.3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3.6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103.4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3.4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5.8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F77CA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4.6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0F3C15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7F77CA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B15A69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0F3C15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301949" cy="327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4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9" w:rsidRPr="004766BD" w:rsidRDefault="00415E03" w:rsidP="00415E03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6A3ABFFB" wp14:editId="6AE3E689">
            <wp:simplePos x="0" y="0"/>
            <wp:positionH relativeFrom="column">
              <wp:posOffset>647065</wp:posOffset>
            </wp:positionH>
            <wp:positionV relativeFrom="paragraph">
              <wp:posOffset>7850505</wp:posOffset>
            </wp:positionV>
            <wp:extent cx="5029200" cy="21431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4AA542" wp14:editId="16B2ACF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>
        <w:rPr>
          <w:rFonts w:ascii="HGｺﾞｼｯｸM" w:eastAsia="HGｺﾞｼｯｸM" w:hint="eastAsia"/>
          <w:noProof/>
          <w:sz w:val="24"/>
        </w:rPr>
        <w:drawing>
          <wp:inline distT="0" distB="0" distL="0" distR="0" wp14:anchorId="5FA17CD4" wp14:editId="513EC4B4">
            <wp:extent cx="6220269" cy="3420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69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B05B37">
        <w:rPr>
          <w:rFonts w:ascii="HGｺﾞｼｯｸM" w:eastAsia="HGｺﾞｼｯｸM"/>
          <w:noProof/>
          <w:sz w:val="24"/>
        </w:rPr>
        <w:drawing>
          <wp:inline distT="0" distB="0" distL="0" distR="0" wp14:anchorId="700D189C" wp14:editId="4176161A">
            <wp:extent cx="6164645" cy="3924000"/>
            <wp:effectExtent l="0" t="0" r="0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4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F9" w:rsidRPr="004766BD" w:rsidSect="002C0975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C69B7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C15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C69B7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2892-EEAF-4A81-B76F-B7A0324E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2018-06-13T09:36:00Z</dcterms:modified>
</cp:coreProperties>
</file>