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6910EF">
        <w:rPr>
          <w:rFonts w:ascii="HGｺﾞｼｯｸM" w:eastAsia="HGｺﾞｼｯｸM" w:hAnsi="ＭＳ Ｐゴシック" w:hint="eastAsia"/>
          <w:kern w:val="0"/>
          <w:sz w:val="24"/>
        </w:rPr>
        <w:t>年７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100.1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0.2％の増加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57CAB">
        <w:rPr>
          <w:rFonts w:ascii="HGPｺﾞｼｯｸM" w:eastAsia="HGPｺﾞｼｯｸM" w:hAnsi="ＭＳ 明朝" w:hint="eastAsia"/>
          <w:sz w:val="22"/>
          <w:szCs w:val="22"/>
        </w:rPr>
        <w:t>9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9.2</w:t>
      </w:r>
      <w:r w:rsidR="008E4F85"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0.2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D57CAB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8E1927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color w:val="000000" w:themeColor="text1"/>
          <w:sz w:val="24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8E1927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100.8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8E1927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8E1927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101.9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</w:t>
      </w:r>
      <w:r w:rsidR="0012050F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.</w:t>
      </w:r>
      <w:r w:rsidR="00984F22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84F22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8E1927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105.3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8E1927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AF70DB" w:rsidRPr="008E4F85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8E1927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4.9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DE68DD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6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CB2DAE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101.9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0.9％の増加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AC7330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28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1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20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08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3.39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2.93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.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46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AC7330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524389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DC3AF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3637F6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37F6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0481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21C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37F6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C7C0-D83A-434E-947D-DD1E927C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2017-10-16T02:18:00Z</dcterms:modified>
</cp:coreProperties>
</file>