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52A6" w14:textId="77777777" w:rsidR="00153BA6" w:rsidRPr="00FC6996" w:rsidRDefault="005F580B" w:rsidP="002F6027">
      <w:pPr>
        <w:spacing w:line="360" w:lineRule="auto"/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4441F" wp14:editId="2E8617FA">
                <wp:simplePos x="0" y="0"/>
                <wp:positionH relativeFrom="column">
                  <wp:posOffset>5357495</wp:posOffset>
                </wp:positionH>
                <wp:positionV relativeFrom="paragraph">
                  <wp:posOffset>-510540</wp:posOffset>
                </wp:positionV>
                <wp:extent cx="647700" cy="419100"/>
                <wp:effectExtent l="0" t="0" r="19050" b="19050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05E72" w14:textId="77777777" w:rsidR="005F580B" w:rsidRDefault="005F580B" w:rsidP="005F580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dark1"/>
                                <w:kern w:val="24"/>
                              </w:rPr>
                              <w:t>参考</w:t>
                            </w:r>
                            <w:r>
                              <w:rPr>
                                <w:rFonts w:ascii="UD デジタル 教科書体 NK-R" w:eastAsia="UD デジタル 教科書体 NK-R" w:cstheme="minorBidi" w:hint="eastAsia"/>
                                <w:color w:val="000000" w:themeColor="dark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790BB" id="正方形/長方形 2" o:spid="_x0000_s1026" style="position:absolute;left:0;text-align:left;margin-left:421.85pt;margin-top:-40.2pt;width:5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+QGwIAAFgEAAAOAAAAZHJzL2Uyb0RvYy54bWysVE1uEzEU3iNxB8t7MjOhTWmUSYValQ2C&#10;isIBHI+dsfAftpOZHAQOAOuuEQuOQyVuwbM9mRTICrFxnsfvfd/73k8WF72SaMucF0bXuJqUGDFN&#10;TSP0usbv3l4/eYaRD0Q3RBrNarxjHl8sHz9adHbOpqY1smEOAYj2887WuA3BzovC05Yp4ifGMg2P&#10;3DhFAlzdumgc6QBdyWJalrOiM66xzlDmPXy9yo94mfA5ZzS85tyzgGSNIbeQTpfOVTyL5YLM147Y&#10;VtAhDfIPWSgiNJCOUFckELRx4i8oJagz3vAwoUYVhnNBWdIAaqryDzW3LbEsaYHieDuWyf8/WPpq&#10;e+OQaGr8FCNNFLTo/u7L/advP75/Ln5+/JotNI2F6qyfg/+tvXHDzYMZVffcqfgLelCfirsbi8v6&#10;gCh8nJ2cnZXQAgpPJ9V5BTagFIdg63x4wYxC0aixg96lkpLtSx+y694lckmNuhqfn05Pk5c3UjTX&#10;Qsr4lsaHXUqHtgQaH/pq4HrgBcxSQwJRVdaRrLCTLMO/YRwKA5lPM0EcyQMmoZTpMBtwpQbvGMYh&#10;gzGwOhYowz6ZwTeGsTSqY2B5LPB3xjEisRodxmAltHHHAJr3I3P236vPmqP80K/6obcr0+xgNDrY&#10;jRr7DxviGEYuyEuTV4lo2hrYJBoymTbPN8FwkVoVsTLAwAHjm5o9rFrcj4f35HX4Q1j+AgAA//8D&#10;AFBLAwQUAAYACAAAACEAa3JivOAAAAALAQAADwAAAGRycy9kb3ducmV2LnhtbEyPy07DMBBF90j8&#10;gzVI7FqnxRQ3xKkqVLagtEjdOvHkQWM7it028PUMK1jOnaM7Z7LNZHt2wTF03ilYzBNg6CpvOtco&#10;+Di8ziSwELUzuvcOFXxhgE1+e5Pp1PirK/Cyjw2jEhdSraCNcUg5D1WLVoe5H9DRrvaj1ZHGseFm&#10;1Fcqtz1fJsmKW905utDqAV9arE77s1Ww+1zW5eGIphjftrvieyVP77VU6v5u2j4DizjFPxh+9Ukd&#10;cnIq/dmZwHoFUjw8EapgJhMBjIi1eKSkpGQhBPA84/9/yH8AAAD//wMAUEsBAi0AFAAGAAgAAAAh&#10;ALaDOJL+AAAA4QEAABMAAAAAAAAAAAAAAAAAAAAAAFtDb250ZW50X1R5cGVzXS54bWxQSwECLQAU&#10;AAYACAAAACEAOP0h/9YAAACUAQAACwAAAAAAAAAAAAAAAAAvAQAAX3JlbHMvLnJlbHNQSwECLQAU&#10;AAYACAAAACEAtuPfkBsCAABYBAAADgAAAAAAAAAAAAAAAAAuAgAAZHJzL2Uyb0RvYy54bWxQSwEC&#10;LQAUAAYACAAAACEAa3JivOAAAAALAQAADwAAAAAAAAAAAAAAAAB1BAAAZHJzL2Rvd25yZXYueG1s&#10;UEsFBgAAAAAEAAQA8wAAAIIFAAAAAA==&#10;" fillcolor="white [3201]" strokecolor="black [3213]">
                <v:textbox>
                  <w:txbxContent>
                    <w:p w:rsidR="005F580B" w:rsidRDefault="005F580B" w:rsidP="005F580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dark1"/>
                          <w:kern w:val="24"/>
                          <w:eastAsianLayout w:id="-1303179518"/>
                        </w:rPr>
                        <w:t>参考</w:t>
                      </w:r>
                      <w:r>
                        <w:rPr>
                          <w:rFonts w:ascii="UD デジタル 教科書体 NK-R" w:eastAsia="UD デジタル 教科書体 NK-R" w:cstheme="minorBidi" w:hint="eastAsia"/>
                          <w:color w:val="000000" w:themeColor="dark1"/>
                          <w:kern w:val="24"/>
                          <w:eastAsianLayout w:id="-1303179517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C7338" w:rsidRPr="00FC6996">
        <w:rPr>
          <w:rFonts w:ascii="ＭＳ ゴシック" w:eastAsia="ＭＳ ゴシック" w:hAnsi="ＭＳ ゴシック" w:hint="eastAsia"/>
          <w:b/>
          <w:sz w:val="26"/>
          <w:szCs w:val="26"/>
        </w:rPr>
        <w:t>専門委員会の</w:t>
      </w:r>
      <w:r w:rsidR="00236B9D" w:rsidRPr="00FC6996">
        <w:rPr>
          <w:rFonts w:ascii="ＭＳ ゴシック" w:eastAsia="ＭＳ ゴシック" w:hAnsi="ＭＳ ゴシック" w:hint="eastAsia"/>
          <w:b/>
          <w:sz w:val="26"/>
          <w:szCs w:val="26"/>
        </w:rPr>
        <w:t>活用</w:t>
      </w:r>
      <w:r w:rsidR="00BC7338" w:rsidRPr="00FC6996">
        <w:rPr>
          <w:rFonts w:ascii="ＭＳ ゴシック" w:eastAsia="ＭＳ ゴシック" w:hAnsi="ＭＳ ゴシック" w:hint="eastAsia"/>
          <w:b/>
          <w:sz w:val="26"/>
          <w:szCs w:val="26"/>
        </w:rPr>
        <w:t>について</w:t>
      </w:r>
    </w:p>
    <w:p w14:paraId="631A8078" w14:textId="77777777" w:rsidR="00BC7338" w:rsidRPr="00236B9D" w:rsidRDefault="00BC7338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0ABF7774" w14:textId="77777777" w:rsidR="00BC7338" w:rsidRPr="00236B9D" w:rsidRDefault="00BC7338" w:rsidP="002F6027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36B9D">
        <w:rPr>
          <w:rFonts w:ascii="ＭＳ ゴシック" w:eastAsia="ＭＳ ゴシック" w:hAnsi="ＭＳ ゴシック" w:hint="eastAsia"/>
          <w:b/>
          <w:sz w:val="24"/>
          <w:szCs w:val="24"/>
        </w:rPr>
        <w:t>１　根拠</w:t>
      </w:r>
    </w:p>
    <w:p w14:paraId="6E565A48" w14:textId="77777777" w:rsidR="00BC7338" w:rsidRDefault="00BC7338" w:rsidP="00BC73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障がい者虐待防止推進部会運営要綱第６条</w:t>
      </w:r>
    </w:p>
    <w:p w14:paraId="01D25E64" w14:textId="77777777" w:rsidR="00236B9D" w:rsidRDefault="00236B9D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7E7BDAE5" w14:textId="77777777" w:rsidR="00BC7338" w:rsidRPr="00236B9D" w:rsidRDefault="00BC7338" w:rsidP="002F6027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236B9D">
        <w:rPr>
          <w:rFonts w:ascii="ＭＳ ゴシック" w:eastAsia="ＭＳ ゴシック" w:hAnsi="ＭＳ ゴシック" w:hint="eastAsia"/>
          <w:b/>
          <w:sz w:val="24"/>
          <w:szCs w:val="24"/>
        </w:rPr>
        <w:t>２　目的</w:t>
      </w:r>
    </w:p>
    <w:p w14:paraId="708988B7" w14:textId="77777777" w:rsidR="00BC7338" w:rsidRDefault="00BC7338" w:rsidP="00BC7338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大阪府所管の障がい福祉サービス事業所等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発生した施設従事者虐待</w:t>
      </w:r>
      <w:r w:rsidR="00FC6996">
        <w:rPr>
          <w:rFonts w:ascii="ＭＳ ゴシック" w:eastAsia="ＭＳ ゴシック" w:hAnsi="ＭＳ ゴシック" w:hint="eastAsia"/>
          <w:sz w:val="24"/>
          <w:szCs w:val="24"/>
        </w:rPr>
        <w:t>事案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FC6996">
        <w:rPr>
          <w:rFonts w:ascii="ＭＳ ゴシック" w:eastAsia="ＭＳ ゴシック" w:hAnsi="ＭＳ ゴシック" w:hint="eastAsia"/>
          <w:sz w:val="24"/>
          <w:szCs w:val="24"/>
        </w:rPr>
        <w:t>対し</w:t>
      </w:r>
      <w:r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C6996">
        <w:rPr>
          <w:rFonts w:ascii="ＭＳ ゴシック" w:eastAsia="ＭＳ ゴシック" w:hAnsi="ＭＳ ゴシック" w:hint="eastAsia"/>
          <w:sz w:val="24"/>
          <w:szCs w:val="24"/>
        </w:rPr>
        <w:t>事業者指導を行うにあたって、第</w:t>
      </w:r>
      <w:r w:rsidR="00545CF0">
        <w:rPr>
          <w:rFonts w:ascii="ＭＳ ゴシック" w:eastAsia="ＭＳ ゴシック" w:hAnsi="ＭＳ ゴシック" w:hint="eastAsia"/>
          <w:sz w:val="24"/>
          <w:szCs w:val="24"/>
        </w:rPr>
        <w:t>三者による専門的な視点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45CF0">
        <w:rPr>
          <w:rFonts w:ascii="ＭＳ ゴシック" w:eastAsia="ＭＳ ゴシック" w:hAnsi="ＭＳ ゴシック" w:hint="eastAsia"/>
          <w:sz w:val="24"/>
          <w:szCs w:val="24"/>
        </w:rPr>
        <w:t>取り入れ、指導内容の充実やさらなる適正化を図る。</w:t>
      </w:r>
    </w:p>
    <w:p w14:paraId="674EB942" w14:textId="77777777" w:rsidR="00545CF0" w:rsidRDefault="00545CF0" w:rsidP="00BB7359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また、当委員会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が行った</w:t>
      </w:r>
      <w:r>
        <w:rPr>
          <w:rFonts w:ascii="ＭＳ ゴシック" w:eastAsia="ＭＳ ゴシック" w:hAnsi="ＭＳ ゴシック" w:hint="eastAsia"/>
          <w:sz w:val="24"/>
          <w:szCs w:val="24"/>
        </w:rPr>
        <w:t>助言などは、ノウハウとして蓄積し、府内の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市町村、</w:t>
      </w:r>
      <w:r>
        <w:rPr>
          <w:rFonts w:ascii="ＭＳ ゴシック" w:eastAsia="ＭＳ ゴシック" w:hAnsi="ＭＳ ゴシック" w:hint="eastAsia"/>
          <w:sz w:val="24"/>
          <w:szCs w:val="24"/>
        </w:rPr>
        <w:t>事業所等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への</w:t>
      </w:r>
      <w:r>
        <w:rPr>
          <w:rFonts w:ascii="ＭＳ ゴシック" w:eastAsia="ＭＳ ゴシック" w:hAnsi="ＭＳ ゴシック" w:hint="eastAsia"/>
          <w:sz w:val="24"/>
          <w:szCs w:val="24"/>
        </w:rPr>
        <w:t>情報提供</w:t>
      </w:r>
      <w:r w:rsidR="00BB7359">
        <w:rPr>
          <w:rFonts w:ascii="ＭＳ ゴシック" w:eastAsia="ＭＳ ゴシック" w:hAnsi="ＭＳ ゴシック" w:hint="eastAsia"/>
          <w:sz w:val="24"/>
          <w:szCs w:val="24"/>
        </w:rPr>
        <w:t>や、</w:t>
      </w:r>
      <w:r>
        <w:rPr>
          <w:rFonts w:ascii="ＭＳ ゴシック" w:eastAsia="ＭＳ ゴシック" w:hAnsi="ＭＳ ゴシック" w:hint="eastAsia"/>
          <w:sz w:val="24"/>
          <w:szCs w:val="24"/>
        </w:rPr>
        <w:t>施設従事者虐待にかかる研修</w:t>
      </w:r>
      <w:r w:rsidR="00BB7359">
        <w:rPr>
          <w:rFonts w:ascii="ＭＳ ゴシック" w:eastAsia="ＭＳ ゴシック" w:hAnsi="ＭＳ ゴシック" w:hint="eastAsia"/>
          <w:sz w:val="24"/>
          <w:szCs w:val="24"/>
        </w:rPr>
        <w:t>内容</w:t>
      </w:r>
      <w:r>
        <w:rPr>
          <w:rFonts w:ascii="ＭＳ ゴシック" w:eastAsia="ＭＳ ゴシック" w:hAnsi="ＭＳ ゴシック" w:hint="eastAsia"/>
          <w:sz w:val="24"/>
          <w:szCs w:val="24"/>
        </w:rPr>
        <w:t>へ反映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BB7359">
        <w:rPr>
          <w:rFonts w:ascii="ＭＳ ゴシック" w:eastAsia="ＭＳ ゴシック" w:hAnsi="ＭＳ ゴシック" w:hint="eastAsia"/>
          <w:sz w:val="24"/>
          <w:szCs w:val="24"/>
        </w:rPr>
        <w:t>などして活用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BB735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225FEA7" w14:textId="77777777" w:rsidR="00BC7338" w:rsidRPr="002F6027" w:rsidRDefault="00BC7338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16A7392B" w14:textId="77777777" w:rsidR="00C63A8F" w:rsidRPr="00C63A8F" w:rsidRDefault="00C63A8F" w:rsidP="002F6027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C63A8F">
        <w:rPr>
          <w:rFonts w:ascii="ＭＳ ゴシック" w:eastAsia="ＭＳ ゴシック" w:hAnsi="ＭＳ ゴシック" w:hint="eastAsia"/>
          <w:b/>
          <w:sz w:val="24"/>
          <w:szCs w:val="24"/>
        </w:rPr>
        <w:t>３　委員会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が</w:t>
      </w:r>
      <w:r w:rsidRPr="00C63A8F">
        <w:rPr>
          <w:rFonts w:ascii="ＭＳ ゴシック" w:eastAsia="ＭＳ ゴシック" w:hAnsi="ＭＳ ゴシック" w:hint="eastAsia"/>
          <w:b/>
          <w:sz w:val="24"/>
          <w:szCs w:val="24"/>
        </w:rPr>
        <w:t>実施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する</w:t>
      </w:r>
      <w:r w:rsidRPr="00C63A8F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</w:p>
    <w:p w14:paraId="2848DAB3" w14:textId="77777777" w:rsidR="00C63A8F" w:rsidRDefault="00C63A8F" w:rsidP="00BC73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(1)　施設従事者虐待事案の分析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や</w:t>
      </w:r>
      <w:r>
        <w:rPr>
          <w:rFonts w:ascii="ＭＳ ゴシック" w:eastAsia="ＭＳ ゴシック" w:hAnsi="ＭＳ ゴシック" w:hint="eastAsia"/>
          <w:sz w:val="24"/>
          <w:szCs w:val="24"/>
        </w:rPr>
        <w:t>検証、指導内容への助言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を行うこと</w:t>
      </w:r>
    </w:p>
    <w:p w14:paraId="0DFAC1B9" w14:textId="77777777" w:rsidR="00C63A8F" w:rsidRDefault="00C63A8F" w:rsidP="00BC73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(2)　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当委員会の活動内容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について障がい者虐待防止推進部会へ報告</w:t>
      </w:r>
      <w:r w:rsidR="002F6027">
        <w:rPr>
          <w:rFonts w:ascii="ＭＳ ゴシック" w:eastAsia="ＭＳ ゴシック" w:hAnsi="ＭＳ ゴシック" w:hint="eastAsia"/>
          <w:sz w:val="24"/>
          <w:szCs w:val="24"/>
        </w:rPr>
        <w:t>すること</w:t>
      </w:r>
    </w:p>
    <w:p w14:paraId="67E68EA0" w14:textId="77777777" w:rsidR="00C63A8F" w:rsidRPr="002F6027" w:rsidRDefault="00C63A8F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12FA87B7" w14:textId="77777777" w:rsidR="00C63A8F" w:rsidRPr="00236B9D" w:rsidRDefault="00C63A8F" w:rsidP="002F6027">
      <w:pPr>
        <w:spacing w:line="276" w:lineRule="auto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236B9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構成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員</w:t>
      </w:r>
      <w:r w:rsidRPr="00236B9D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</w:p>
    <w:p w14:paraId="30352710" w14:textId="77777777" w:rsidR="00C63A8F" w:rsidRDefault="00C63A8F" w:rsidP="00C63A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(1)　</w:t>
      </w:r>
      <w:r w:rsidRPr="00C63A8F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-1311596544"/>
        </w:rPr>
        <w:t>構成</w:t>
      </w:r>
      <w:r w:rsidRPr="00C63A8F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-1311596544"/>
        </w:rPr>
        <w:t>員</w:t>
      </w:r>
      <w:r>
        <w:rPr>
          <w:rFonts w:ascii="ＭＳ ゴシック" w:eastAsia="ＭＳ ゴシック" w:hAnsi="ＭＳ ゴシック" w:hint="eastAsia"/>
          <w:sz w:val="24"/>
          <w:szCs w:val="24"/>
        </w:rPr>
        <w:t>：委員３名</w:t>
      </w:r>
    </w:p>
    <w:p w14:paraId="02285168" w14:textId="77777777" w:rsidR="00C63A8F" w:rsidRDefault="00C63A8F" w:rsidP="00C63A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(2)　実施頻度：年１～２回程度（大阪府から相談案件がある都度開催）</w:t>
      </w:r>
    </w:p>
    <w:p w14:paraId="5FC7A5EC" w14:textId="77777777" w:rsidR="00C63A8F" w:rsidRDefault="00C63A8F" w:rsidP="00C63A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(3)　大阪府が相談する案件の例</w:t>
      </w:r>
    </w:p>
    <w:p w14:paraId="09352FD9" w14:textId="77777777" w:rsidR="00C63A8F" w:rsidRDefault="00C63A8F" w:rsidP="00C63A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・社会的に重大な事案</w:t>
      </w:r>
    </w:p>
    <w:p w14:paraId="58794B88" w14:textId="77777777" w:rsidR="00C63A8F" w:rsidRDefault="00C63A8F" w:rsidP="00C63A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・その他特に大阪府が相談の必要性を認める事案</w:t>
      </w:r>
    </w:p>
    <w:p w14:paraId="405386FC" w14:textId="77777777" w:rsidR="00C63A8F" w:rsidRDefault="00C63A8F" w:rsidP="00C63A8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(4)　イメージ図</w:t>
      </w:r>
    </w:p>
    <w:p w14:paraId="5F6E3E92" w14:textId="77777777" w:rsidR="00C63A8F" w:rsidRDefault="002F6027" w:rsidP="00BC7338">
      <w:pPr>
        <w:rPr>
          <w:rFonts w:ascii="ＭＳ ゴシック" w:eastAsia="ＭＳ ゴシック" w:hAnsi="ＭＳ ゴシック"/>
          <w:sz w:val="24"/>
          <w:szCs w:val="24"/>
        </w:rPr>
      </w:pPr>
      <w:r w:rsidRPr="00F74574">
        <w:rPr>
          <w:noProof/>
        </w:rPr>
        <w:drawing>
          <wp:inline distT="0" distB="0" distL="0" distR="0" wp14:anchorId="6952ACEE" wp14:editId="23C121DF">
            <wp:extent cx="5759450" cy="219801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35CC1" w14:textId="77777777" w:rsidR="00C63A8F" w:rsidRDefault="00C63A8F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35EA194D" w14:textId="77777777" w:rsidR="00F74574" w:rsidRDefault="00F74574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70D979DC" w14:textId="77777777" w:rsidR="00BC7338" w:rsidRDefault="00BC7338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6224D36C" w14:textId="77777777" w:rsidR="00934286" w:rsidRDefault="00934286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39CFC2A8" w14:textId="77777777" w:rsidR="00934286" w:rsidRDefault="00934286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726B7A80" w14:textId="77777777" w:rsidR="00934286" w:rsidRDefault="00934286" w:rsidP="00BC7338">
      <w:pPr>
        <w:rPr>
          <w:rFonts w:ascii="ＭＳ ゴシック" w:eastAsia="ＭＳ ゴシック" w:hAnsi="ＭＳ ゴシック"/>
          <w:sz w:val="24"/>
          <w:szCs w:val="24"/>
        </w:rPr>
      </w:pPr>
    </w:p>
    <w:p w14:paraId="204767AE" w14:textId="77777777" w:rsidR="00934286" w:rsidRDefault="00934286" w:rsidP="00BC733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【参考】障がい者虐待防止推進部会運営要綱（抜粋）</w:t>
      </w:r>
    </w:p>
    <w:p w14:paraId="6E613654" w14:textId="77777777" w:rsidR="00934286" w:rsidRDefault="00934286" w:rsidP="00934286">
      <w:pPr>
        <w:rPr>
          <w:rFonts w:ascii="ＭＳ ゴシック" w:eastAsia="ＭＳ ゴシック" w:hAnsi="ＭＳ ゴシック"/>
          <w:sz w:val="24"/>
          <w:szCs w:val="24"/>
        </w:rPr>
      </w:pPr>
    </w:p>
    <w:p w14:paraId="226E3698" w14:textId="77777777" w:rsidR="00934286" w:rsidRPr="00934286" w:rsidRDefault="00934286" w:rsidP="00934286">
      <w:pPr>
        <w:rPr>
          <w:rFonts w:ascii="ＭＳ ゴシック" w:eastAsia="ＭＳ ゴシック" w:hAnsi="ＭＳ ゴシック"/>
          <w:szCs w:val="21"/>
        </w:rPr>
      </w:pPr>
      <w:r w:rsidRPr="00934286">
        <w:rPr>
          <w:rFonts w:ascii="ＭＳ ゴシック" w:eastAsia="ＭＳ ゴシック" w:hAnsi="ＭＳ ゴシック" w:hint="eastAsia"/>
          <w:szCs w:val="21"/>
        </w:rPr>
        <w:t>（専門委員会）</w:t>
      </w:r>
    </w:p>
    <w:p w14:paraId="79312547" w14:textId="77777777" w:rsidR="00934286" w:rsidRPr="00934286" w:rsidRDefault="00934286" w:rsidP="00934286">
      <w:pPr>
        <w:rPr>
          <w:rFonts w:ascii="ＭＳ ゴシック" w:eastAsia="ＭＳ ゴシック" w:hAnsi="ＭＳ ゴシック"/>
          <w:szCs w:val="21"/>
        </w:rPr>
      </w:pPr>
      <w:r w:rsidRPr="00934286">
        <w:rPr>
          <w:rFonts w:ascii="ＭＳ ゴシック" w:eastAsia="ＭＳ ゴシック" w:hAnsi="ＭＳ ゴシック" w:hint="eastAsia"/>
          <w:szCs w:val="21"/>
        </w:rPr>
        <w:t>第六条</w:t>
      </w:r>
      <w:r w:rsidRPr="00934286">
        <w:rPr>
          <w:rFonts w:ascii="ＭＳ ゴシック" w:eastAsia="ＭＳ ゴシック" w:hAnsi="ＭＳ ゴシック"/>
          <w:szCs w:val="21"/>
        </w:rPr>
        <w:t xml:space="preserve"> 部会に、必要に応じて専門委員会を置くことができる。</w:t>
      </w:r>
    </w:p>
    <w:p w14:paraId="6D70209B" w14:textId="77777777" w:rsidR="00934286" w:rsidRPr="00934286" w:rsidRDefault="00934286" w:rsidP="00934286">
      <w:pPr>
        <w:rPr>
          <w:rFonts w:ascii="ＭＳ ゴシック" w:eastAsia="ＭＳ ゴシック" w:hAnsi="ＭＳ ゴシック"/>
          <w:szCs w:val="21"/>
        </w:rPr>
      </w:pPr>
      <w:r w:rsidRPr="00934286">
        <w:rPr>
          <w:rFonts w:ascii="ＭＳ ゴシック" w:eastAsia="ＭＳ ゴシック" w:hAnsi="ＭＳ ゴシック" w:hint="eastAsia"/>
          <w:szCs w:val="21"/>
        </w:rPr>
        <w:t>２</w:t>
      </w:r>
      <w:r w:rsidRPr="00934286">
        <w:rPr>
          <w:rFonts w:ascii="ＭＳ ゴシック" w:eastAsia="ＭＳ ゴシック" w:hAnsi="ＭＳ ゴシック"/>
          <w:szCs w:val="21"/>
        </w:rPr>
        <w:t xml:space="preserve"> 前項に基づき、部会に次の表に掲げる専門委員会を設置し、事務を担任する。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1980"/>
        <w:gridCol w:w="6905"/>
      </w:tblGrid>
      <w:tr w:rsidR="00934286" w:rsidRPr="00934286" w14:paraId="27B61FAA" w14:textId="77777777" w:rsidTr="00934286">
        <w:tc>
          <w:tcPr>
            <w:tcW w:w="1980" w:type="dxa"/>
          </w:tcPr>
          <w:p w14:paraId="019FD86B" w14:textId="77777777" w:rsidR="00934286" w:rsidRPr="00934286" w:rsidRDefault="00934286" w:rsidP="0093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専門委員会名</w:t>
            </w:r>
          </w:p>
        </w:tc>
        <w:tc>
          <w:tcPr>
            <w:tcW w:w="6905" w:type="dxa"/>
          </w:tcPr>
          <w:p w14:paraId="6C3E28F5" w14:textId="77777777" w:rsidR="00934286" w:rsidRPr="00934286" w:rsidRDefault="00934286" w:rsidP="0093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/>
                <w:szCs w:val="21"/>
              </w:rPr>
              <w:t>障がい児者虐待防止支援専門委員会</w:t>
            </w:r>
          </w:p>
        </w:tc>
      </w:tr>
      <w:tr w:rsidR="00934286" w:rsidRPr="00934286" w14:paraId="6A0FD699" w14:textId="77777777" w:rsidTr="00CC38BE">
        <w:tc>
          <w:tcPr>
            <w:tcW w:w="8885" w:type="dxa"/>
            <w:gridSpan w:val="2"/>
          </w:tcPr>
          <w:p w14:paraId="10E987EA" w14:textId="77777777" w:rsidR="00934286" w:rsidRPr="00934286" w:rsidRDefault="00934286" w:rsidP="0093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担任する事務：次に掲げる事項を調査審議する。</w:t>
            </w:r>
          </w:p>
        </w:tc>
      </w:tr>
      <w:tr w:rsidR="00934286" w:rsidRPr="00934286" w14:paraId="6E124CD8" w14:textId="77777777" w:rsidTr="00A911B2">
        <w:tc>
          <w:tcPr>
            <w:tcW w:w="8885" w:type="dxa"/>
            <w:gridSpan w:val="2"/>
          </w:tcPr>
          <w:p w14:paraId="7CA8AD6E" w14:textId="77777777" w:rsidR="00934286" w:rsidRPr="00934286" w:rsidRDefault="00934286" w:rsidP="00934286">
            <w:pPr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Pr="00934286">
              <w:rPr>
                <w:rFonts w:ascii="ＭＳ ゴシック" w:eastAsia="ＭＳ ゴシック" w:hAnsi="ＭＳ ゴシック"/>
                <w:szCs w:val="21"/>
              </w:rPr>
              <w:t xml:space="preserve"> 障がい児者入所施設におけるサービスの提供状況の評価及び評価内容に応じた</w:t>
            </w: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支援策の提案に関すること</w:t>
            </w:r>
          </w:p>
        </w:tc>
      </w:tr>
      <w:tr w:rsidR="00934286" w:rsidRPr="00934286" w14:paraId="56E78310" w14:textId="77777777" w:rsidTr="00D36A68">
        <w:tc>
          <w:tcPr>
            <w:tcW w:w="8885" w:type="dxa"/>
            <w:gridSpan w:val="2"/>
          </w:tcPr>
          <w:p w14:paraId="4F1AEC49" w14:textId="77777777" w:rsidR="00934286" w:rsidRPr="00934286" w:rsidRDefault="00934286" w:rsidP="0093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Pr="00934286">
              <w:rPr>
                <w:rFonts w:ascii="ＭＳ ゴシック" w:eastAsia="ＭＳ ゴシック" w:hAnsi="ＭＳ ゴシック"/>
                <w:szCs w:val="21"/>
              </w:rPr>
              <w:t xml:space="preserve"> 虐待事例等の収集・分析・検証に関すること</w:t>
            </w:r>
          </w:p>
        </w:tc>
      </w:tr>
      <w:tr w:rsidR="00934286" w:rsidRPr="00934286" w14:paraId="1658C3EC" w14:textId="77777777" w:rsidTr="00E253A8">
        <w:tc>
          <w:tcPr>
            <w:tcW w:w="8885" w:type="dxa"/>
            <w:gridSpan w:val="2"/>
          </w:tcPr>
          <w:p w14:paraId="0A9BCECA" w14:textId="77777777" w:rsidR="00934286" w:rsidRPr="00934286" w:rsidRDefault="00934286" w:rsidP="0093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Pr="00934286">
              <w:rPr>
                <w:rFonts w:ascii="ＭＳ ゴシック" w:eastAsia="ＭＳ ゴシック" w:hAnsi="ＭＳ ゴシック"/>
                <w:szCs w:val="21"/>
              </w:rPr>
              <w:t xml:space="preserve"> 虐待防止のためのマニュアル等の検討・作成に関すること</w:t>
            </w:r>
          </w:p>
        </w:tc>
      </w:tr>
      <w:tr w:rsidR="00934286" w:rsidRPr="00934286" w14:paraId="3042FF93" w14:textId="77777777" w:rsidTr="00743F2E">
        <w:tc>
          <w:tcPr>
            <w:tcW w:w="8885" w:type="dxa"/>
            <w:gridSpan w:val="2"/>
          </w:tcPr>
          <w:p w14:paraId="6660F279" w14:textId="77777777" w:rsidR="00934286" w:rsidRPr="00934286" w:rsidRDefault="00934286" w:rsidP="0093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Pr="00934286">
              <w:rPr>
                <w:rFonts w:ascii="ＭＳ ゴシック" w:eastAsia="ＭＳ ゴシック" w:hAnsi="ＭＳ ゴシック"/>
                <w:szCs w:val="21"/>
              </w:rPr>
              <w:t xml:space="preserve"> 障がい児者虐待防止施策に係る提言に関すること</w:t>
            </w:r>
          </w:p>
        </w:tc>
      </w:tr>
      <w:tr w:rsidR="00934286" w:rsidRPr="00934286" w14:paraId="3BD4E06F" w14:textId="77777777" w:rsidTr="00C52486">
        <w:tc>
          <w:tcPr>
            <w:tcW w:w="8885" w:type="dxa"/>
            <w:gridSpan w:val="2"/>
          </w:tcPr>
          <w:p w14:paraId="1553684C" w14:textId="77777777" w:rsidR="00934286" w:rsidRPr="00934286" w:rsidRDefault="00934286" w:rsidP="00934286">
            <w:pPr>
              <w:rPr>
                <w:rFonts w:ascii="ＭＳ ゴシック" w:eastAsia="ＭＳ ゴシック" w:hAnsi="ＭＳ ゴシック"/>
                <w:szCs w:val="21"/>
              </w:rPr>
            </w:pPr>
            <w:r w:rsidRPr="00934286">
              <w:rPr>
                <w:rFonts w:ascii="ＭＳ ゴシック" w:eastAsia="ＭＳ ゴシック" w:hAnsi="ＭＳ ゴシック" w:hint="eastAsia"/>
                <w:szCs w:val="21"/>
              </w:rPr>
              <w:t>（５）</w:t>
            </w:r>
            <w:r w:rsidRPr="00934286">
              <w:rPr>
                <w:rFonts w:ascii="ＭＳ ゴシック" w:eastAsia="ＭＳ ゴシック" w:hAnsi="ＭＳ ゴシック"/>
                <w:szCs w:val="21"/>
              </w:rPr>
              <w:t xml:space="preserve"> その他障がい児者虐待の防止のために必要な事項</w:t>
            </w:r>
          </w:p>
        </w:tc>
      </w:tr>
    </w:tbl>
    <w:p w14:paraId="70B2DE55" w14:textId="77777777" w:rsidR="00934286" w:rsidRPr="00934286" w:rsidRDefault="00934286" w:rsidP="00934286">
      <w:pPr>
        <w:rPr>
          <w:rFonts w:ascii="ＭＳ ゴシック" w:eastAsia="ＭＳ ゴシック" w:hAnsi="ＭＳ ゴシック"/>
          <w:szCs w:val="21"/>
        </w:rPr>
      </w:pPr>
      <w:r w:rsidRPr="00934286">
        <w:rPr>
          <w:rFonts w:ascii="ＭＳ ゴシック" w:eastAsia="ＭＳ ゴシック" w:hAnsi="ＭＳ ゴシック" w:hint="eastAsia"/>
          <w:szCs w:val="21"/>
        </w:rPr>
        <w:t>３</w:t>
      </w:r>
      <w:r w:rsidRPr="00934286">
        <w:rPr>
          <w:rFonts w:ascii="ＭＳ ゴシック" w:eastAsia="ＭＳ ゴシック" w:hAnsi="ＭＳ ゴシック"/>
          <w:szCs w:val="21"/>
        </w:rPr>
        <w:t xml:space="preserve"> 専門委員会に属する委員等は、部会長が指名する。</w:t>
      </w:r>
    </w:p>
    <w:p w14:paraId="1908652F" w14:textId="77777777" w:rsidR="00934286" w:rsidRPr="00934286" w:rsidRDefault="00934286" w:rsidP="0093428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34286">
        <w:rPr>
          <w:rFonts w:ascii="ＭＳ ゴシック" w:eastAsia="ＭＳ ゴシック" w:hAnsi="ＭＳ ゴシック" w:hint="eastAsia"/>
          <w:szCs w:val="21"/>
        </w:rPr>
        <w:t>４</w:t>
      </w:r>
      <w:r w:rsidRPr="00934286">
        <w:rPr>
          <w:rFonts w:ascii="ＭＳ ゴシック" w:eastAsia="ＭＳ ゴシック" w:hAnsi="ＭＳ ゴシック"/>
          <w:szCs w:val="21"/>
        </w:rPr>
        <w:t xml:space="preserve"> 専門委員会に専門委員会長を置き、専門委員会の意見を聞いたうえで、部会長が指名する委</w:t>
      </w:r>
      <w:r w:rsidRPr="00934286">
        <w:rPr>
          <w:rFonts w:ascii="ＭＳ ゴシック" w:eastAsia="ＭＳ ゴシック" w:hAnsi="ＭＳ ゴシック" w:hint="eastAsia"/>
          <w:szCs w:val="21"/>
        </w:rPr>
        <w:t>員等がこれに当たる。</w:t>
      </w:r>
    </w:p>
    <w:p w14:paraId="721E6AC0" w14:textId="77777777" w:rsidR="00934286" w:rsidRPr="00934286" w:rsidRDefault="00934286" w:rsidP="00934286">
      <w:pPr>
        <w:rPr>
          <w:rFonts w:ascii="ＭＳ ゴシック" w:eastAsia="ＭＳ ゴシック" w:hAnsi="ＭＳ ゴシック"/>
          <w:szCs w:val="21"/>
        </w:rPr>
      </w:pPr>
      <w:r w:rsidRPr="00934286">
        <w:rPr>
          <w:rFonts w:ascii="ＭＳ ゴシック" w:eastAsia="ＭＳ ゴシック" w:hAnsi="ＭＳ ゴシック" w:hint="eastAsia"/>
          <w:szCs w:val="21"/>
        </w:rPr>
        <w:t>５</w:t>
      </w:r>
      <w:r w:rsidRPr="00934286">
        <w:rPr>
          <w:rFonts w:ascii="ＭＳ ゴシック" w:eastAsia="ＭＳ ゴシック" w:hAnsi="ＭＳ ゴシック"/>
          <w:szCs w:val="21"/>
        </w:rPr>
        <w:t xml:space="preserve"> 専門委員会長は、専門委員会の会務を掌理する。</w:t>
      </w:r>
    </w:p>
    <w:p w14:paraId="13F24E2D" w14:textId="77777777" w:rsidR="00934286" w:rsidRDefault="00934286" w:rsidP="0093428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934286">
        <w:rPr>
          <w:rFonts w:ascii="ＭＳ ゴシック" w:eastAsia="ＭＳ ゴシック" w:hAnsi="ＭＳ ゴシック" w:hint="eastAsia"/>
          <w:szCs w:val="21"/>
        </w:rPr>
        <w:t>６</w:t>
      </w:r>
      <w:r w:rsidRPr="00934286">
        <w:rPr>
          <w:rFonts w:ascii="ＭＳ ゴシック" w:eastAsia="ＭＳ ゴシック" w:hAnsi="ＭＳ ゴシック"/>
          <w:szCs w:val="21"/>
        </w:rPr>
        <w:t xml:space="preserve"> 前条の規定にかかわらず、部会は、部会長の同意を得て、専門委員会の決議をもって部会の</w:t>
      </w:r>
      <w:r w:rsidRPr="00934286">
        <w:rPr>
          <w:rFonts w:ascii="ＭＳ ゴシック" w:eastAsia="ＭＳ ゴシック" w:hAnsi="ＭＳ ゴシック" w:hint="eastAsia"/>
          <w:szCs w:val="21"/>
        </w:rPr>
        <w:t>決議とすることができる。</w:t>
      </w:r>
    </w:p>
    <w:p w14:paraId="51ADC2BA" w14:textId="77777777" w:rsidR="00F74574" w:rsidRPr="00934286" w:rsidRDefault="00F74574" w:rsidP="0093428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sectPr w:rsidR="00F74574" w:rsidRPr="00934286" w:rsidSect="00236B9D">
      <w:pgSz w:w="11906" w:h="16838"/>
      <w:pgMar w:top="1134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DE74" w14:textId="77777777" w:rsidR="005F580B" w:rsidRDefault="005F580B" w:rsidP="005F580B">
      <w:r>
        <w:separator/>
      </w:r>
    </w:p>
  </w:endnote>
  <w:endnote w:type="continuationSeparator" w:id="0">
    <w:p w14:paraId="1D14DE09" w14:textId="77777777" w:rsidR="005F580B" w:rsidRDefault="005F580B" w:rsidP="005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21B5" w14:textId="77777777" w:rsidR="005F580B" w:rsidRDefault="005F580B" w:rsidP="005F580B">
      <w:r>
        <w:separator/>
      </w:r>
    </w:p>
  </w:footnote>
  <w:footnote w:type="continuationSeparator" w:id="0">
    <w:p w14:paraId="7231BFF1" w14:textId="77777777" w:rsidR="005F580B" w:rsidRDefault="005F580B" w:rsidP="005F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38"/>
    <w:rsid w:val="00153BA6"/>
    <w:rsid w:val="00236B9D"/>
    <w:rsid w:val="002F6027"/>
    <w:rsid w:val="00397E00"/>
    <w:rsid w:val="004D1AD0"/>
    <w:rsid w:val="00545CF0"/>
    <w:rsid w:val="005F580B"/>
    <w:rsid w:val="00635AAF"/>
    <w:rsid w:val="00892DE8"/>
    <w:rsid w:val="00934286"/>
    <w:rsid w:val="00937635"/>
    <w:rsid w:val="00BB7359"/>
    <w:rsid w:val="00BC7338"/>
    <w:rsid w:val="00C63A8F"/>
    <w:rsid w:val="00DA0BD7"/>
    <w:rsid w:val="00DF64F3"/>
    <w:rsid w:val="00EB12CE"/>
    <w:rsid w:val="00F74574"/>
    <w:rsid w:val="00F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96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8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80B"/>
  </w:style>
  <w:style w:type="paragraph" w:styleId="a6">
    <w:name w:val="footer"/>
    <w:basedOn w:val="a"/>
    <w:link w:val="a7"/>
    <w:uiPriority w:val="99"/>
    <w:unhideWhenUsed/>
    <w:rsid w:val="005F58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80B"/>
  </w:style>
  <w:style w:type="paragraph" w:styleId="Web">
    <w:name w:val="Normal (Web)"/>
    <w:basedOn w:val="a"/>
    <w:uiPriority w:val="99"/>
    <w:semiHidden/>
    <w:unhideWhenUsed/>
    <w:rsid w:val="005F58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2ADC-5006-4D43-92D5-E582F427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2023-02-14T04:36:00Z</dcterms:created>
  <dcterms:modified xsi:type="dcterms:W3CDTF">2023-02-14T04:36:00Z</dcterms:modified>
</cp:coreProperties>
</file>