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D9D2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2E65BAD1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747542F" w14:textId="408852F8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8E3C7A3" w14:textId="656EA65C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0F0F1B5" w14:textId="1675A83D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AC3ECD3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2C7D95A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B3F1357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0FACF31B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626824C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8710A3F" w14:textId="77777777" w:rsidR="00867EDE" w:rsidRPr="0000379D" w:rsidRDefault="00867EDE" w:rsidP="00867EDE">
      <w:pPr>
        <w:ind w:firstLineChars="100" w:firstLine="723"/>
        <w:rPr>
          <w:rFonts w:ascii="ＭＳ ゴシック" w:eastAsia="ＭＳ ゴシック" w:hAnsi="ＭＳ ゴシック"/>
          <w:b/>
          <w:sz w:val="72"/>
          <w:szCs w:val="72"/>
        </w:rPr>
      </w:pPr>
      <w:r w:rsidRPr="0000379D">
        <w:rPr>
          <w:rFonts w:ascii="ＭＳ ゴシック" w:eastAsia="ＭＳ ゴシック" w:hAnsi="ＭＳ ゴシック" w:hint="eastAsia"/>
          <w:b/>
          <w:sz w:val="72"/>
          <w:szCs w:val="72"/>
        </w:rPr>
        <w:t>府意思疎通支援部会</w:t>
      </w:r>
    </w:p>
    <w:p w14:paraId="33A2FD23" w14:textId="77777777" w:rsidR="00867EDE" w:rsidRDefault="00867EDE" w:rsidP="00867EDE">
      <w:pPr>
        <w:ind w:firstLineChars="200" w:firstLine="1446"/>
        <w:rPr>
          <w:rFonts w:ascii="ＭＳ ゴシック" w:eastAsia="ＭＳ ゴシック" w:hAnsi="ＭＳ ゴシック"/>
          <w:b/>
          <w:sz w:val="72"/>
          <w:szCs w:val="72"/>
        </w:rPr>
      </w:pPr>
      <w:r w:rsidRPr="0000379D">
        <w:rPr>
          <w:rFonts w:ascii="ＭＳ ゴシック" w:eastAsia="ＭＳ ゴシック" w:hAnsi="ＭＳ ゴシック" w:hint="eastAsia"/>
          <w:b/>
          <w:sz w:val="72"/>
          <w:szCs w:val="72"/>
        </w:rPr>
        <w:t>手話通訳ワーキンググループ資料関係</w:t>
      </w:r>
    </w:p>
    <w:p w14:paraId="0ED5F0EC" w14:textId="77777777" w:rsidR="00867EDE" w:rsidRPr="0000379D" w:rsidRDefault="00867EDE" w:rsidP="00867EDE">
      <w:pPr>
        <w:ind w:firstLineChars="200" w:firstLine="1446"/>
        <w:rPr>
          <w:rFonts w:ascii="ＭＳ ゴシック" w:eastAsia="ＭＳ ゴシック" w:hAnsi="ＭＳ ゴシック"/>
          <w:b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</w:rPr>
        <w:t>【抜粋】</w:t>
      </w:r>
    </w:p>
    <w:p w14:paraId="7C5E4660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7FFA2BE7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FBD376B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15407693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7205802C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C048441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700FB830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09A42C5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2D86DB8D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0D66C0D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BD2EEA1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BFC5566" w14:textId="77777777" w:rsidR="00867EDE" w:rsidRDefault="00867ED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92C3EE4" w14:textId="60763CD9" w:rsidR="00246F04" w:rsidRPr="005105C3" w:rsidRDefault="0037244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5105C3">
        <w:rPr>
          <w:rFonts w:ascii="Meiryo UI" w:eastAsia="Meiryo UI" w:hAnsi="Meiryo UI" w:hint="eastAsia"/>
          <w:b/>
          <w:sz w:val="28"/>
          <w:szCs w:val="28"/>
        </w:rPr>
        <w:lastRenderedPageBreak/>
        <w:t>（１）</w:t>
      </w:r>
      <w:r w:rsidR="00E878A9" w:rsidRPr="005105C3">
        <w:rPr>
          <w:rFonts w:ascii="Meiryo UI" w:eastAsia="Meiryo UI" w:hAnsi="Meiryo UI" w:hint="eastAsia"/>
          <w:b/>
          <w:sz w:val="28"/>
          <w:szCs w:val="28"/>
        </w:rPr>
        <w:t>手話通訳者養成講座・登録試験のあり方の見直し</w:t>
      </w:r>
    </w:p>
    <w:tbl>
      <w:tblPr>
        <w:tblStyle w:val="a3"/>
        <w:tblW w:w="5228" w:type="pct"/>
        <w:tblInd w:w="-318" w:type="dxa"/>
        <w:tblLook w:val="04A0" w:firstRow="1" w:lastRow="0" w:firstColumn="1" w:lastColumn="0" w:noHBand="0" w:noVBand="1"/>
      </w:tblPr>
      <w:tblGrid>
        <w:gridCol w:w="4409"/>
        <w:gridCol w:w="5645"/>
        <w:gridCol w:w="5645"/>
      </w:tblGrid>
      <w:tr w:rsidR="0023471E" w:rsidRPr="004D7973" w14:paraId="692C3EE7" w14:textId="6BF33EE6" w:rsidTr="0023471E">
        <w:trPr>
          <w:trHeight w:val="484"/>
        </w:trPr>
        <w:tc>
          <w:tcPr>
            <w:tcW w:w="140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EE5" w14:textId="5A388852" w:rsidR="0023471E" w:rsidRPr="004D7973" w:rsidRDefault="0023471E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現状および課題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C917E" w14:textId="254699BA" w:rsidR="0023471E" w:rsidRDefault="0023471E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0E541" w14:textId="02041CDB" w:rsidR="0023471E" w:rsidRPr="004D7973" w:rsidRDefault="00E07C10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これまでの論点</w:t>
            </w:r>
          </w:p>
        </w:tc>
      </w:tr>
      <w:tr w:rsidR="0023471E" w:rsidRPr="004D7973" w14:paraId="4FF292B2" w14:textId="1C27D771" w:rsidTr="0023471E">
        <w:trPr>
          <w:trHeight w:val="484"/>
        </w:trPr>
        <w:tc>
          <w:tcPr>
            <w:tcW w:w="1404" w:type="pct"/>
            <w:shd w:val="clear" w:color="auto" w:fill="FFFFFF" w:themeFill="background1"/>
          </w:tcPr>
          <w:p w14:paraId="04C37599" w14:textId="3BF1F872" w:rsidR="0023471E" w:rsidRPr="006A3BF7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■養成講座講師について</w:t>
            </w:r>
          </w:p>
          <w:p w14:paraId="1668B892" w14:textId="2E8A253E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府養成講座講師やそのスキル等の確保方針・方策なし。</w:t>
            </w:r>
          </w:p>
        </w:tc>
        <w:tc>
          <w:tcPr>
            <w:tcW w:w="1798" w:type="pct"/>
            <w:shd w:val="clear" w:color="auto" w:fill="FFFFFF" w:themeFill="background1"/>
          </w:tcPr>
          <w:p w14:paraId="3A0661EE" w14:textId="5FA82AA4" w:rsidR="0023471E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DE66DA6" w14:textId="287647F4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手話通訳者養成講座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の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講師要件の明確化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31年度～】</w:t>
            </w:r>
          </w:p>
          <w:p w14:paraId="5C0932A0" w14:textId="74C37717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・語学力の確認（手話能力など）。</w:t>
            </w:r>
          </w:p>
          <w:p w14:paraId="67E7FC3D" w14:textId="3E69830F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・受講者アンケートの実施。</w:t>
            </w:r>
          </w:p>
          <w:p w14:paraId="49C4A160" w14:textId="4641963B" w:rsidR="0023471E" w:rsidRPr="00104C1D" w:rsidRDefault="0023471E" w:rsidP="0023471E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外部講座の活用【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H31年度～】</w:t>
            </w:r>
          </w:p>
          <w:p w14:paraId="176FCB53" w14:textId="6A4243B8" w:rsidR="0023471E" w:rsidRPr="00104C1D" w:rsidRDefault="0023471E" w:rsidP="00864451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・外部講座の受講必須化。</w:t>
            </w:r>
          </w:p>
          <w:p w14:paraId="5B786973" w14:textId="77777777" w:rsidR="0023471E" w:rsidRPr="00104C1D" w:rsidRDefault="0023471E" w:rsidP="0023471E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・「教えるスキル」についての講座受講　　</w:t>
            </w:r>
          </w:p>
          <w:p w14:paraId="36D7F4C3" w14:textId="25CB83DB" w:rsidR="0023471E" w:rsidRPr="00104C1D" w:rsidRDefault="0023471E" w:rsidP="0023471E">
            <w:pPr>
              <w:spacing w:line="320" w:lineRule="exact"/>
              <w:ind w:firstLineChars="200" w:firstLine="56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必須化。</w:t>
            </w:r>
          </w:p>
          <w:p w14:paraId="03864B14" w14:textId="51C0903D" w:rsidR="0023471E" w:rsidRPr="00104C1D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養成講座の講師の府への登録・更新制度の導入【H31年度～（経過措置あり）】</w:t>
            </w:r>
          </w:p>
          <w:p w14:paraId="74F83125" w14:textId="23D621F7" w:rsidR="00F469FA" w:rsidRPr="00104C1D" w:rsidRDefault="0023471E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・上記要件（語学力・講座受講・良好な　　アンケート結果等を満たす者を登録・　更新。</w:t>
            </w:r>
          </w:p>
          <w:p w14:paraId="5175FBCC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413D28C7" w14:textId="36EBF459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1509DCB7" w14:textId="36651EEA" w:rsidR="009B426A" w:rsidRDefault="009B426A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605FC6F4" w14:textId="77777777" w:rsidR="009B426A" w:rsidRDefault="009B426A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4E0A276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16F503B" w14:textId="53BB941B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E2DA6CC" w14:textId="77777777" w:rsidR="0059186A" w:rsidRDefault="0059186A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23BDE544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9D1747D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0C46D82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2B17BBD4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78C830E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1265D28" w14:textId="0B2CDBD0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2F9789A" w14:textId="77777777" w:rsidR="003350BF" w:rsidRDefault="003350BF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2F9AAA5" w14:textId="45968A37" w:rsidR="008F626A" w:rsidRPr="0052547B" w:rsidRDefault="008F626A" w:rsidP="00864451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</w:tc>
        <w:tc>
          <w:tcPr>
            <w:tcW w:w="1798" w:type="pct"/>
            <w:vMerge w:val="restart"/>
            <w:shd w:val="clear" w:color="auto" w:fill="FFFFFF" w:themeFill="background1"/>
          </w:tcPr>
          <w:p w14:paraId="249022DB" w14:textId="56E06D1F" w:rsidR="0023471E" w:rsidRPr="004D7973" w:rsidRDefault="00E07C10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（第１回）</w:t>
            </w:r>
          </w:p>
          <w:p w14:paraId="0DE14FF2" w14:textId="115A4832" w:rsidR="0023471E" w:rsidRDefault="0023471E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講師の技術を磨く研修は重要。手話言語学の知識・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技術、教える際に役立つものでなければならない。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かかる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取組みを実施している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県もある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411C797" w14:textId="772E01DA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5ABDC6B0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619B519B" w14:textId="5FAD767B" w:rsidR="00864451" w:rsidRPr="00E07C10" w:rsidRDefault="00E07C10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E07C10">
              <w:rPr>
                <w:rFonts w:ascii="Meiryo UI" w:eastAsia="Meiryo UI" w:hAnsi="Meiryo UI" w:hint="eastAsia"/>
                <w:b/>
                <w:sz w:val="28"/>
                <w:szCs w:val="28"/>
              </w:rPr>
              <w:t>（第２回）</w:t>
            </w:r>
          </w:p>
          <w:p w14:paraId="1B47FCD7" w14:textId="1285829A" w:rsidR="00E07C10" w:rsidRDefault="000D7539" w:rsidP="00DA3E45">
            <w:pPr>
              <w:spacing w:line="320" w:lineRule="exact"/>
              <w:ind w:leftChars="100" w:left="21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特段の意見なし。</w:t>
            </w:r>
          </w:p>
          <w:p w14:paraId="3CA1E160" w14:textId="294FF54C" w:rsidR="00E07C10" w:rsidRDefault="00E07C10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B821AC7" w14:textId="77777777" w:rsidR="00E07C10" w:rsidRDefault="00E07C10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42FBFA1" w14:textId="46D771B5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2320E03" w14:textId="65505A16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69CE564" w14:textId="55607793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0D822AF" w14:textId="77777777" w:rsidR="009B426A" w:rsidRDefault="009B426A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4B062252" w14:textId="455F8F76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E0F7C61" w14:textId="4FC8764D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86F4D59" w14:textId="77777777" w:rsidR="000D7539" w:rsidRDefault="000D7539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3D60813" w14:textId="0A226E0D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65E49261" w14:textId="77777777" w:rsidR="00DA3E45" w:rsidRDefault="00DA3E45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125D9885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4730016E" w14:textId="01626849" w:rsidR="00E07C10" w:rsidRPr="00E07C10" w:rsidRDefault="00E07C10" w:rsidP="00864451">
            <w:pPr>
              <w:spacing w:line="320" w:lineRule="exact"/>
              <w:ind w:left="280" w:hangingChars="100" w:hanging="280"/>
              <w:rPr>
                <w:rFonts w:ascii="Meiryo UI" w:eastAsia="Meiryo UI" w:hAnsi="Meiryo UI" w:cs="ＭＳ 明朝"/>
                <w:b/>
                <w:sz w:val="28"/>
                <w:szCs w:val="28"/>
              </w:rPr>
            </w:pPr>
            <w:r w:rsidRPr="00E07C10"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（第１回）</w:t>
            </w:r>
          </w:p>
          <w:p w14:paraId="77DF6E6F" w14:textId="74A62597" w:rsidR="00864451" w:rsidRP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（再掲）</w:t>
            </w:r>
          </w:p>
          <w:p w14:paraId="54DCBEDC" w14:textId="19FC1C89" w:rsid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専門性の高い手話通訳者を養成するのには、20名という規模では、きっちり指導し、きっちり技術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習得させるのは難しい。特に高い専門性のある手話通訳者の養成をめざ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すのであれば、受講者数を絞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る　　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392D298" w14:textId="77777777" w:rsid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養成の対象は若い人をターゲットにすべき。若い人をつぶさないように。</w:t>
            </w:r>
          </w:p>
          <w:p w14:paraId="19281A8F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312985C" w14:textId="77777777" w:rsidR="00E07C10" w:rsidRDefault="00E07C10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（第２回）</w:t>
            </w:r>
          </w:p>
          <w:p w14:paraId="3B6BEB12" w14:textId="703BF445" w:rsidR="00E07C10" w:rsidRDefault="00E07C10" w:rsidP="00E07C10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➢</w:t>
            </w:r>
            <w:r w:rsidRPr="00E07C10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東京都とまるっきり同様の講座を実施することは難しいのでは。特に「手話通訳士」未満、手話奉仕員以上のレベルの人々への講座はどうするのか。</w:t>
            </w:r>
          </w:p>
          <w:p w14:paraId="4716F786" w14:textId="77688B1F" w:rsidR="00E07C10" w:rsidRPr="00E07C10" w:rsidRDefault="00E07C10" w:rsidP="00E07C10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➢</w:t>
            </w:r>
            <w:r w:rsidR="00C20905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手話通訳士のみならず、</w:t>
            </w:r>
            <w:r w:rsidRPr="00E07C10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手話検定試験</w:t>
            </w:r>
            <w:r w:rsidR="00C20905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の要件化も検討すべき</w:t>
            </w:r>
            <w:r w:rsidRPr="00E07C10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F80C206" w14:textId="494A5102" w:rsidR="00E07C10" w:rsidRPr="00E07C10" w:rsidRDefault="00E07C10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23471E" w:rsidRPr="004D7973" w14:paraId="6BBD86CD" w14:textId="49A02DF4" w:rsidTr="0023471E">
        <w:trPr>
          <w:trHeight w:val="484"/>
        </w:trPr>
        <w:tc>
          <w:tcPr>
            <w:tcW w:w="1404" w:type="pct"/>
            <w:shd w:val="clear" w:color="auto" w:fill="FFFFFF" w:themeFill="background1"/>
          </w:tcPr>
          <w:p w14:paraId="6F497D7D" w14:textId="7B87BED8" w:rsidR="0023471E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■養成講座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そのもの</w:t>
            </w: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0D0E1F0B" w14:textId="02C93E1C" w:rsidR="0023471E" w:rsidRDefault="0023471E" w:rsidP="00A8112C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UD デジタル 教科書体 NP-R" w:cs="UD デジタル 教科書体 NP-R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府養成講座の位置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付け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が</w:t>
            </w:r>
            <w:r w:rsidR="00A8112C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 xml:space="preserve">　　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不明確</w:t>
            </w:r>
          </w:p>
          <w:p w14:paraId="4FF3A475" w14:textId="792C49DB" w:rsidR="0023471E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・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養成講座がある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にもかかわらず、登録試験は誰でも受験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可能。</w:t>
            </w:r>
          </w:p>
          <w:p w14:paraId="51426A08" w14:textId="12161E23" w:rsidR="0023471E" w:rsidRPr="0052547B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一方、登録試験における養成講座修了者等の優遇措置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なし。</w:t>
            </w:r>
          </w:p>
          <w:p w14:paraId="5FA88BC7" w14:textId="34AB3A03" w:rsidR="0023471E" w:rsidRPr="005105C3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064941D1" w14:textId="2215FDB2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36EB270" w14:textId="73E99046" w:rsidR="0023471E" w:rsidRPr="00104C1D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講座そのものに係る外部有識者による評価等の場の設置・運営</w:t>
            </w:r>
            <w:r w:rsidR="0016345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08C03F6B" w14:textId="3F1BA84C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・ＷＧメンバーをもって充てる（持ち回り方式も想定）。</w:t>
            </w:r>
          </w:p>
          <w:p w14:paraId="524D9F59" w14:textId="3D01F8AC" w:rsidR="0023471E" w:rsidRPr="00104C1D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「初級」「中級」「上級」の位置づけと運用の見直し</w:t>
            </w:r>
            <w:r w:rsidR="0016345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</w:t>
            </w:r>
            <w:r w:rsidR="00E6289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（一部H31　　　　年度～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2625B2FB" w14:textId="47949512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・東京都の取組みを参考に見直し・運用。</w:t>
            </w:r>
          </w:p>
          <w:p w14:paraId="29E0F954" w14:textId="167EE534" w:rsidR="00C20905" w:rsidRPr="00104C1D" w:rsidRDefault="00C20905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手話奉仕員からのステップアップをターゲットとする講座、</w:t>
            </w:r>
            <w:r w:rsidRPr="00104C1D">
              <w:rPr>
                <w:rFonts w:ascii="UD デジタル 教科書体 NP-R" w:eastAsia="UD デジタル 教科書体 NP-R" w:hAnsi="Meiryo UI"/>
                <w:sz w:val="28"/>
                <w:szCs w:val="28"/>
              </w:rPr>
              <w:t>➁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手話通訳士の資格取得をターゲットとする講座、③登録者の現任研修をターゲットとする講座、を基本とする。</w:t>
            </w:r>
          </w:p>
          <w:p w14:paraId="549230E7" w14:textId="358FEB73" w:rsidR="00C20905" w:rsidRPr="00104C1D" w:rsidRDefault="00C20905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Pr="00104C1D">
              <w:rPr>
                <w:rFonts w:ascii="UD デジタル 教科書体 NP-R" w:eastAsia="UD デジタル 教科書体 NP-R" w:hAnsi="ＭＳ 明朝" w:cs="ＭＳ 明朝" w:hint="eastAsia"/>
                <w:sz w:val="28"/>
                <w:szCs w:val="28"/>
              </w:rPr>
              <w:t>の修了者は、優先的に</w:t>
            </w: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➁</w:t>
            </w:r>
            <w:r w:rsidRPr="00104C1D">
              <w:rPr>
                <w:rFonts w:ascii="UD デジタル 教科書体 NP-R" w:eastAsia="UD デジタル 教科書体 NP-R" w:hAnsi="ＭＳ 明朝" w:cs="ＭＳ 明朝" w:hint="eastAsia"/>
                <w:sz w:val="28"/>
                <w:szCs w:val="28"/>
              </w:rPr>
              <w:t>を受講できるようにすべきか否かを検討。</w:t>
            </w:r>
          </w:p>
          <w:p w14:paraId="04FF3B2D" w14:textId="77777777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・受講のための選考を厳格化するとともに、受講定員をさらに絞り込み。</w:t>
            </w:r>
          </w:p>
          <w:p w14:paraId="0EDD9839" w14:textId="77777777" w:rsidR="0023471E" w:rsidRPr="00104C1D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・何度でも受講可能にする。</w:t>
            </w:r>
          </w:p>
          <w:p w14:paraId="1889E057" w14:textId="5138D3EA" w:rsidR="0023471E" w:rsidRPr="00104C1D" w:rsidRDefault="0023471E" w:rsidP="00191AAD">
            <w:pPr>
              <w:spacing w:line="320" w:lineRule="exact"/>
              <w:ind w:left="560" w:hangingChars="200" w:hanging="56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91AAD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「手話通訳士」等の連動性の確保【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191AAD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年度～】</w:t>
            </w:r>
          </w:p>
          <w:p w14:paraId="33633D09" w14:textId="126D2BAD" w:rsidR="0023471E" w:rsidRPr="00104C1D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・「手話通訳士」取得</w:t>
            </w:r>
            <w:r w:rsidR="00E6289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等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を一つのターゲットとする。</w:t>
            </w:r>
          </w:p>
          <w:p w14:paraId="266CC1A3" w14:textId="77777777" w:rsidR="00864451" w:rsidRPr="00104C1D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1415595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44C0AA33" w14:textId="1F79AAB0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1995F808" w14:textId="2959196F" w:rsidR="009B426A" w:rsidRDefault="009B426A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A317896" w14:textId="77777777" w:rsidR="009B426A" w:rsidRDefault="009B426A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DC58845" w14:textId="2A27A750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4E4A5E63" w14:textId="77777777" w:rsidR="003350BF" w:rsidRDefault="003350BF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A345EE8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069E381" w14:textId="2EB77D13" w:rsidR="00864451" w:rsidRPr="004D7973" w:rsidRDefault="00864451" w:rsidP="00C20905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798" w:type="pct"/>
            <w:vMerge/>
            <w:shd w:val="clear" w:color="auto" w:fill="FFFFFF" w:themeFill="background1"/>
          </w:tcPr>
          <w:p w14:paraId="210FD850" w14:textId="77777777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23471E" w:rsidRPr="005105C3" w14:paraId="692C3EEB" w14:textId="77EA3366" w:rsidTr="0023471E">
        <w:tc>
          <w:tcPr>
            <w:tcW w:w="1404" w:type="pct"/>
          </w:tcPr>
          <w:p w14:paraId="04EC75A0" w14:textId="5B8FFD60" w:rsidR="0023471E" w:rsidRPr="006A3BF7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■登録試験について</w:t>
            </w:r>
          </w:p>
          <w:p w14:paraId="538D81C7" w14:textId="5931B8CA" w:rsidR="0023471E" w:rsidRPr="00163453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府登録試験の合格率が非常に低い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（０～３％）。</w:t>
            </w:r>
          </w:p>
          <w:p w14:paraId="1FC98CE9" w14:textId="77777777" w:rsidR="00163453" w:rsidRDefault="0023471E" w:rsidP="00163453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※合格者１人あたりコスト</w:t>
            </w:r>
          </w:p>
          <w:p w14:paraId="21BF2006" w14:textId="6FF4DCDA" w:rsidR="0023471E" w:rsidRP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H29年度　1,168万円×３年</w:t>
            </w:r>
          </w:p>
          <w:p w14:paraId="3C3C4E09" w14:textId="77777777" w:rsidR="0023471E" w:rsidRPr="00163453" w:rsidRDefault="0023471E" w:rsidP="00163453">
            <w:pPr>
              <w:spacing w:line="320" w:lineRule="exact"/>
              <w:ind w:leftChars="200" w:left="420" w:firstLineChars="500" w:firstLine="140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＝3,504万円</w:t>
            </w:r>
          </w:p>
          <w:p w14:paraId="3EA417E2" w14:textId="77777777" w:rsid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H28年度　2,336万円×３年</w:t>
            </w:r>
          </w:p>
          <w:p w14:paraId="0ED75C0B" w14:textId="31A5BF2E" w:rsidR="0023471E" w:rsidRPr="00163453" w:rsidRDefault="0023471E" w:rsidP="00163453">
            <w:pPr>
              <w:spacing w:line="320" w:lineRule="exact"/>
              <w:ind w:firstLineChars="650" w:firstLine="18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＝7,008万円</w:t>
            </w:r>
          </w:p>
          <w:p w14:paraId="26E6E736" w14:textId="77777777" w:rsid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H27年度　2,294万円×３年</w:t>
            </w:r>
          </w:p>
          <w:p w14:paraId="5C99AD17" w14:textId="635AA132" w:rsidR="0023471E" w:rsidRPr="00163453" w:rsidRDefault="0023471E" w:rsidP="00163453">
            <w:pPr>
              <w:spacing w:line="320" w:lineRule="exact"/>
              <w:ind w:firstLineChars="650" w:firstLine="18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＝6,882万円</w:t>
            </w:r>
          </w:p>
          <w:p w14:paraId="692C3EE8" w14:textId="0B337A2F" w:rsidR="0023471E" w:rsidRPr="00191AAD" w:rsidRDefault="0023471E" w:rsidP="00191AAD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※他府県や手話通訳士の合格率</w:t>
            </w:r>
            <w:r w:rsidR="00191AA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　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は概ね10～15％程度。</w:t>
            </w:r>
          </w:p>
        </w:tc>
        <w:tc>
          <w:tcPr>
            <w:tcW w:w="1798" w:type="pct"/>
          </w:tcPr>
          <w:p w14:paraId="7C1CE815" w14:textId="385D41F8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C007685" w14:textId="5349277E" w:rsidR="0023471E" w:rsidRPr="00104C1D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登録試験に係る外部有識者による評価等の場の設置・運営</w:t>
            </w:r>
            <w:r w:rsidR="0016345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38CFC720" w14:textId="7EF1DBF4" w:rsidR="0023471E" w:rsidRPr="00104C1D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・ＷＧメンバーをもって充てる（持ち回り方式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も想定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）。</w:t>
            </w:r>
          </w:p>
          <w:p w14:paraId="1616E561" w14:textId="7778372F" w:rsidR="0023471E" w:rsidRPr="00104C1D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登録試験の受験要件の見直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し（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手話通訳士のみ受験可とする【H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32年度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～（経過措置として、当面の間、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養成講座（上級）修了者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も受験可とする。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）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076A6A0C" w14:textId="19750985" w:rsidR="0023471E" w:rsidRPr="00104C1D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・将来的には「手話通訳士」のみ受験可とする。</w:t>
            </w:r>
          </w:p>
          <w:p w14:paraId="1076A303" w14:textId="746DEF3D" w:rsidR="0023471E" w:rsidRPr="004D7973" w:rsidRDefault="0023471E" w:rsidP="00163453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6345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試験採点者に外部人材を活用【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A8112C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="0016345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</w:tc>
        <w:tc>
          <w:tcPr>
            <w:tcW w:w="1798" w:type="pct"/>
          </w:tcPr>
          <w:p w14:paraId="22895098" w14:textId="23330F82" w:rsidR="0023471E" w:rsidRPr="004D7973" w:rsidRDefault="00E07C10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（第１回）</w:t>
            </w:r>
          </w:p>
          <w:p w14:paraId="3FC4915E" w14:textId="4295DBB0" w:rsidR="00864451" w:rsidRP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（再掲）</w:t>
            </w:r>
          </w:p>
          <w:p w14:paraId="43C7BD33" w14:textId="77777777" w:rsidR="0023471E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63453"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東京都の通訳者は「手話通訳士有資格者＋登録試験合格」した者であり、高い専門性を有している。</w:t>
            </w:r>
          </w:p>
          <w:p w14:paraId="7516430D" w14:textId="77777777" w:rsidR="00E07C10" w:rsidRDefault="00E07C10" w:rsidP="00E07C10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4E6223FF" w14:textId="77777777" w:rsidR="00DA3E45" w:rsidRDefault="00E07C10" w:rsidP="000D7539">
            <w:pPr>
              <w:spacing w:line="320" w:lineRule="exac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E07C10">
              <w:rPr>
                <w:rFonts w:ascii="Meiryo UI" w:eastAsia="Meiryo UI" w:hAnsi="Meiryo UI" w:hint="eastAsia"/>
                <w:b/>
                <w:sz w:val="28"/>
                <w:szCs w:val="28"/>
              </w:rPr>
              <w:t>（第２回）</w:t>
            </w:r>
            <w:r w:rsidR="000D753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</w:p>
          <w:p w14:paraId="6EC2D50D" w14:textId="260BC77A" w:rsidR="00E07C10" w:rsidRPr="00DA3E45" w:rsidRDefault="000D7539" w:rsidP="00DA3E45">
            <w:pPr>
              <w:spacing w:line="320" w:lineRule="exact"/>
              <w:ind w:firstLineChars="100" w:firstLine="28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特段の意見なし。</w:t>
            </w:r>
          </w:p>
        </w:tc>
      </w:tr>
    </w:tbl>
    <w:p w14:paraId="4BB3664C" w14:textId="09612B21" w:rsidR="002F2BE1" w:rsidRDefault="002F2BE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FC0479C" w14:textId="3E881579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05AC88B8" w14:textId="4705B271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409B6A59" w14:textId="254BB53F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474EE5A" w14:textId="74E8E2EF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2556EEC6" w14:textId="1312F6D4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5993CEC6" w14:textId="16705EC5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FF06110" w14:textId="73C8972C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715C76A1" w14:textId="77777777" w:rsidR="00867EDE" w:rsidRDefault="00867EDE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17CBD91A" w14:textId="676DF18D" w:rsidR="00C20905" w:rsidRDefault="00C20905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7FD89A6A" w14:textId="29526C88" w:rsidR="009B426A" w:rsidRDefault="009B426A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5A1A5B85" w14:textId="4035ED69" w:rsidR="009B426A" w:rsidRDefault="009B426A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FE1A4CA" w14:textId="1D5F3DAA" w:rsidR="009B426A" w:rsidRDefault="009B426A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9CD70FB" w14:textId="77777777" w:rsidR="00DA3E45" w:rsidRPr="00DA3E45" w:rsidRDefault="00DA3E45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277B7251" w14:textId="77777777" w:rsidR="000D7539" w:rsidRDefault="000D7539" w:rsidP="0036672E">
      <w:pPr>
        <w:spacing w:line="320" w:lineRule="exact"/>
        <w:rPr>
          <w:rFonts w:ascii="Meiryo UI" w:eastAsia="Meiryo UI" w:hAnsi="Meiryo UI" w:hint="eastAsia"/>
          <w:b/>
          <w:sz w:val="28"/>
          <w:szCs w:val="28"/>
        </w:rPr>
      </w:pPr>
      <w:bookmarkStart w:id="0" w:name="_GoBack"/>
      <w:bookmarkEnd w:id="0"/>
    </w:p>
    <w:p w14:paraId="30D2BBC1" w14:textId="77777777" w:rsidR="009B426A" w:rsidRDefault="009B426A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692C3F1B" w14:textId="17765649" w:rsidR="005A1CE8" w:rsidRPr="0040200E" w:rsidRDefault="0040200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40200E">
        <w:rPr>
          <w:rFonts w:ascii="Meiryo UI" w:eastAsia="Meiryo UI" w:hAnsi="Meiryo UI" w:hint="eastAsia"/>
          <w:b/>
          <w:sz w:val="28"/>
          <w:szCs w:val="28"/>
        </w:rPr>
        <w:lastRenderedPageBreak/>
        <w:t>（２）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手話通訳者</w:t>
      </w:r>
      <w:r w:rsidRPr="0040200E">
        <w:rPr>
          <w:rFonts w:ascii="Meiryo UI" w:eastAsia="Meiryo UI" w:hAnsi="Meiryo UI" w:hint="eastAsia"/>
          <w:b/>
          <w:sz w:val="28"/>
          <w:szCs w:val="28"/>
        </w:rPr>
        <w:t>の登録・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派遣の見直し</w:t>
      </w:r>
    </w:p>
    <w:tbl>
      <w:tblPr>
        <w:tblStyle w:val="a3"/>
        <w:tblW w:w="5162" w:type="pct"/>
        <w:tblInd w:w="-318" w:type="dxa"/>
        <w:tblLook w:val="04A0" w:firstRow="1" w:lastRow="0" w:firstColumn="1" w:lastColumn="0" w:noHBand="0" w:noVBand="1"/>
      </w:tblPr>
      <w:tblGrid>
        <w:gridCol w:w="4470"/>
        <w:gridCol w:w="6002"/>
        <w:gridCol w:w="5028"/>
      </w:tblGrid>
      <w:tr w:rsidR="004B2AE1" w:rsidRPr="0040200E" w14:paraId="692C3F1E" w14:textId="6C534CBE" w:rsidTr="00086B07">
        <w:trPr>
          <w:trHeight w:val="522"/>
        </w:trPr>
        <w:tc>
          <w:tcPr>
            <w:tcW w:w="1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F1C" w14:textId="0C5CE8A2" w:rsidR="004B2AE1" w:rsidRPr="0040200E" w:rsidRDefault="004B2AE1" w:rsidP="004B2AE1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0200E">
              <w:rPr>
                <w:rFonts w:ascii="Meiryo UI" w:eastAsia="Meiryo UI" w:hAnsi="Meiryo UI" w:hint="eastAsia"/>
                <w:b/>
                <w:sz w:val="28"/>
                <w:szCs w:val="28"/>
              </w:rPr>
              <w:t>現状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および課題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F1D" w14:textId="1930CF7E" w:rsidR="004B2AE1" w:rsidRPr="0040200E" w:rsidRDefault="00086B07" w:rsidP="00086B0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40EDB" w14:textId="37D91EDA" w:rsidR="004B2AE1" w:rsidRDefault="001648E5" w:rsidP="004B2AE1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これまでの論点</w:t>
            </w:r>
          </w:p>
        </w:tc>
      </w:tr>
      <w:tr w:rsidR="004B2AE1" w:rsidRPr="0040200E" w14:paraId="639D902E" w14:textId="77777777" w:rsidTr="00086B07">
        <w:trPr>
          <w:trHeight w:val="522"/>
        </w:trPr>
        <w:tc>
          <w:tcPr>
            <w:tcW w:w="1442" w:type="pct"/>
            <w:shd w:val="clear" w:color="auto" w:fill="FFFFFF" w:themeFill="background1"/>
          </w:tcPr>
          <w:p w14:paraId="723B04D7" w14:textId="54DBED35" w:rsidR="006A3BF7" w:rsidRPr="006A3BF7" w:rsidRDefault="006A3BF7" w:rsidP="006A3BF7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■手話通訳者の登録について</w:t>
            </w:r>
          </w:p>
          <w:p w14:paraId="5349269F" w14:textId="5704E7BC" w:rsidR="004B2AE1" w:rsidRPr="00A642B8" w:rsidRDefault="004B2AE1" w:rsidP="004B2AE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計画目標値に過誤があり、見直した経過等あり。</w:t>
            </w:r>
          </w:p>
          <w:p w14:paraId="385B94B4" w14:textId="77777777" w:rsidR="004B2AE1" w:rsidRPr="00A642B8" w:rsidRDefault="004B2AE1" w:rsidP="004B2AE1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Ｈ29年度末：580人→</w:t>
            </w:r>
          </w:p>
          <w:p w14:paraId="2C64894B" w14:textId="77777777" w:rsidR="004B2AE1" w:rsidRPr="00A642B8" w:rsidRDefault="004B2AE1" w:rsidP="004B2AE1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Ｈ32年度末：48人</w:t>
            </w:r>
          </w:p>
          <w:p w14:paraId="27F3DC29" w14:textId="150EE491" w:rsidR="004B2AE1" w:rsidRPr="00A642B8" w:rsidRDefault="004B2AE1" w:rsidP="004B2AE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登録試験合格者に対する人材養成ビジョンの欠落。上記の状況による登録者のスキルの経年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劣化。</w:t>
            </w:r>
          </w:p>
          <w:p w14:paraId="5151E989" w14:textId="70BD4106" w:rsidR="004B2AE1" w:rsidRPr="00A642B8" w:rsidRDefault="00A642B8" w:rsidP="00A642B8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➢</w:t>
            </w:r>
            <w:r w:rsidR="004B2AE1"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登録年数の浅い登録者に対する過小評価の実態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も</w:t>
            </w:r>
            <w:r w:rsidR="004B2AE1"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あり。</w:t>
            </w:r>
          </w:p>
          <w:p w14:paraId="6B5C9391" w14:textId="0058AE08" w:rsidR="004B2AE1" w:rsidRPr="004B2AE1" w:rsidRDefault="004B2AE1" w:rsidP="004B2AE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養成講座→登録試験→派遣等の確実な人材確保方策なし。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1E5347" w14:textId="77777777" w:rsidR="00853AB3" w:rsidRPr="00104C1D" w:rsidRDefault="00853AB3" w:rsidP="00C20905">
            <w:pPr>
              <w:spacing w:line="320" w:lineRule="exact"/>
              <w:ind w:left="420" w:hangingChars="150" w:hanging="42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474D70F9" w14:textId="0724987B" w:rsidR="00C20905" w:rsidRPr="00104C1D" w:rsidRDefault="00086B07" w:rsidP="00C20905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853AB3" w:rsidRPr="00104C1D">
              <w:rPr>
                <w:rFonts w:ascii="UD デジタル 教科書体 NP-R" w:eastAsia="UD デジタル 教科書体 NP-R" w:hAnsi="ＭＳ 明朝" w:cs="ＭＳ 明朝" w:hint="eastAsia"/>
                <w:sz w:val="28"/>
                <w:szCs w:val="28"/>
              </w:rPr>
              <w:t>OJT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等によるスキル確保</w:t>
            </w:r>
            <w:r w:rsidR="00853AB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の実施</w:t>
            </w:r>
            <w:r w:rsidR="00A642B8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="00853AB3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48125504" w14:textId="306AD4A8" w:rsidR="00C20905" w:rsidRPr="00104C1D" w:rsidRDefault="00C20905" w:rsidP="00A642B8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・OJTの評価について、聴覚障がい者も行えるよう、項目を工夫</w:t>
            </w:r>
            <w:r w:rsidR="009B426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（利用者の観点からの項目に絞るなど）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82191E7" w14:textId="79979A96" w:rsidR="00A642B8" w:rsidRPr="00104C1D" w:rsidRDefault="00086B07" w:rsidP="00A642B8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H30年度は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「共に生きる障がい者展」等においてOJT実施したが、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11名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中４名の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み対応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AB65291" w14:textId="7AE72CFF" w:rsidR="00086B07" w:rsidRPr="00104C1D" w:rsidRDefault="00086B07" w:rsidP="00A642B8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・OJT修了しない者の取扱いやOJTそのも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のの仕組的対応をさらに検討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（OJTの機会はH30年度内に何度か設ける予定であるが、応じない者は登録解除も含めて対応）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7F8A5572" w14:textId="24D3E0AF" w:rsidR="00086B07" w:rsidRPr="00104C1D" w:rsidRDefault="00086B07" w:rsidP="00086B07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更新試験の実施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Pr="00104C1D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5EA6E98A" w14:textId="3F75633A" w:rsidR="00A642B8" w:rsidRPr="00104C1D" w:rsidRDefault="00086B07" w:rsidP="00C20905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・「手話通訳士」資格</w:t>
            </w:r>
            <w:r w:rsidR="00C20905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取得を求めていく（手　話通訳士は、更新試験免除）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75752B96" w14:textId="1613C9E5" w:rsidR="00086B07" w:rsidRPr="00104C1D" w:rsidRDefault="00C20905" w:rsidP="00734F3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・現任研修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の受講も必須化</w:t>
            </w:r>
            <w:r w:rsidR="00086B07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449BF7BE" w14:textId="7FB092FD" w:rsidR="00C20905" w:rsidRPr="00104C1D" w:rsidRDefault="00C20905" w:rsidP="00734F3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="009B426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活動実績がなく、登録名簿から外れている者についても、OJT・現任研修・更新試験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のサイクルを踏むことで、登録者として再度名簿に登録されることも検討</w:t>
            </w:r>
            <w:r w:rsidR="009B426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（予備登録のような運用）</w:t>
            </w:r>
            <w:r w:rsidR="003A3377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2B161294" w14:textId="599E68B1" w:rsidR="00086B07" w:rsidRPr="00104C1D" w:rsidRDefault="00086B07" w:rsidP="00A642B8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派遣実績やＯＪＴ、更新試験による登録者の実力判定の実施</w:t>
            </w:r>
            <w:r w:rsidR="00A642B8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Pr="00104C1D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A642B8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（試行）～】</w:t>
            </w:r>
          </w:p>
          <w:p w14:paraId="08D37FA0" w14:textId="58B16649" w:rsidR="00086B07" w:rsidRPr="00104C1D" w:rsidRDefault="00A642B8" w:rsidP="00086B07">
            <w:pPr>
              <w:spacing w:line="320" w:lineRule="exact"/>
              <w:ind w:left="560" w:hangingChars="200" w:hanging="56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="00086B07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・派遣依頼者に、手話通訳者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への</w:t>
            </w:r>
            <w:r w:rsidR="00086B07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評価・アンケートを実施する。</w:t>
            </w:r>
          </w:p>
          <w:p w14:paraId="28ADEFF6" w14:textId="10350613" w:rsidR="00F469FA" w:rsidRDefault="00F469FA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登録者の実力判定結果と派遣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報酬の連動【上記をもとにさらに検討】</w:t>
            </w:r>
          </w:p>
          <w:p w14:paraId="5D36BD00" w14:textId="77777777" w:rsidR="003350BF" w:rsidRPr="00104C1D" w:rsidRDefault="003350BF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34D3D805" w14:textId="5449549A" w:rsidR="00086B07" w:rsidRPr="00104C1D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lastRenderedPageBreak/>
              <w:t>➢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常時派遣対応可能な登録者の計画的確保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【順次実施】</w:t>
            </w:r>
          </w:p>
          <w:p w14:paraId="3E1308D0" w14:textId="3A743245" w:rsidR="00086B07" w:rsidRPr="00104C1D" w:rsidRDefault="00086B07" w:rsidP="00853AB3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登録者→養成講座講師のキャリアパスの</w:t>
            </w:r>
            <w:r w:rsidR="00853AB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 xml:space="preserve">　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確立</w:t>
            </w:r>
            <w:r w:rsidR="00F469FA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【順次実施】</w:t>
            </w:r>
          </w:p>
          <w:p w14:paraId="599601BC" w14:textId="1CE5E44D" w:rsidR="009C6116" w:rsidRPr="00104C1D" w:rsidRDefault="00086B07" w:rsidP="00C20905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養成講座修了証の発行及びその取扱いの</w:t>
            </w:r>
            <w:r w:rsidR="00853AB3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 xml:space="preserve">　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明確化、修了者の活用方法を広く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PR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A8112C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104C1D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00F937" w14:textId="4BAD38F3" w:rsidR="000D7539" w:rsidRDefault="00E23831" w:rsidP="00DA3E45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（第１回）</w:t>
            </w:r>
          </w:p>
          <w:p w14:paraId="6224C732" w14:textId="4F6EA329" w:rsidR="000D7539" w:rsidRDefault="000D7539" w:rsidP="00DA3E45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特段の意見なし。</w:t>
            </w:r>
          </w:p>
          <w:p w14:paraId="526FCC04" w14:textId="45D6F0DA" w:rsidR="00E23831" w:rsidRDefault="00E23831" w:rsidP="000D7539">
            <w:pPr>
              <w:spacing w:line="320" w:lineRule="exact"/>
              <w:rPr>
                <w:rFonts w:ascii="UD デジタル 教科書体 NP-R" w:eastAsia="UD デジタル 教科書体 NP-R" w:hAnsi="UD デジタル 教科書体 NP-R" w:cs="UD デジタル 教科書体 NP-R"/>
                <w:sz w:val="28"/>
                <w:szCs w:val="28"/>
              </w:rPr>
            </w:pPr>
          </w:p>
          <w:p w14:paraId="05B480A5" w14:textId="77777777" w:rsidR="00E23831" w:rsidRDefault="00E23831" w:rsidP="00E23831">
            <w:pPr>
              <w:spacing w:line="320" w:lineRule="exact"/>
              <w:ind w:left="420" w:hangingChars="150" w:hanging="420"/>
              <w:rPr>
                <w:rFonts w:ascii="Meiryo UI" w:eastAsia="Meiryo UI" w:hAnsi="Meiryo UI" w:cs="UD デジタル 教科書体 NP-R"/>
                <w:b/>
                <w:sz w:val="28"/>
                <w:szCs w:val="28"/>
              </w:rPr>
            </w:pPr>
            <w:r w:rsidRPr="00E23831">
              <w:rPr>
                <w:rFonts w:ascii="Meiryo UI" w:eastAsia="Meiryo UI" w:hAnsi="Meiryo UI" w:cs="UD デジタル 教科書体 NP-R" w:hint="eastAsia"/>
                <w:b/>
                <w:sz w:val="28"/>
                <w:szCs w:val="28"/>
              </w:rPr>
              <w:t>（第２回）</w:t>
            </w:r>
          </w:p>
          <w:p w14:paraId="26A2EE1B" w14:textId="3821B1E6" w:rsidR="00E23831" w:rsidRPr="00104C1D" w:rsidRDefault="00E23831" w:rsidP="00104C1D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 w:cs="ＭＳ 明朝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C20905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OJTの有効化</w:t>
            </w:r>
            <w:r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は、コーディネートの問題。</w:t>
            </w:r>
          </w:p>
          <w:p w14:paraId="1755E999" w14:textId="461B1D52" w:rsidR="00E23831" w:rsidRPr="00104C1D" w:rsidRDefault="00E23831" w:rsidP="00E23831">
            <w:pPr>
              <w:spacing w:line="320" w:lineRule="exact"/>
              <w:ind w:leftChars="100" w:left="210"/>
              <w:rPr>
                <w:rFonts w:ascii="UD デジタル 教科書体 NP-R" w:eastAsia="UD デジタル 教科書体 NP-R" w:hAnsi="Meiryo UI" w:cs="ＭＳ 明朝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手話通訳者の派遣の際に、ベテラン通訳者と新人を</w:t>
            </w:r>
            <w:r w:rsidR="00C20905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組合わせ</w:t>
            </w:r>
            <w:r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る等、やりようはいくらでもある。また、OJTも含め、活動しない登録者は、登録者名簿から外すべき。</w:t>
            </w:r>
          </w:p>
          <w:p w14:paraId="0941EEE5" w14:textId="3668B7CE" w:rsidR="00C20905" w:rsidRPr="00104C1D" w:rsidRDefault="00E23831" w:rsidP="00853AB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 w:cs="ＭＳ 明朝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C20905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合格者といえども、十分な通訳者とは言えない。どの資格でもそのとおりで、だからこそOJT</w:t>
            </w:r>
            <w:r w:rsidR="00853AB3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が必要である。</w:t>
            </w:r>
            <w:r w:rsidR="00C20905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どんなベテランの人にも、１年めがあった。</w:t>
            </w:r>
          </w:p>
          <w:p w14:paraId="6ACD5E0A" w14:textId="6530D19A" w:rsidR="00D3496B" w:rsidRPr="00E23831" w:rsidRDefault="00D3496B" w:rsidP="00C20905">
            <w:pPr>
              <w:spacing w:line="320" w:lineRule="exact"/>
              <w:ind w:left="280" w:hangingChars="100" w:hanging="280"/>
              <w:rPr>
                <w:rFonts w:ascii="Meiryo UI" w:eastAsia="Meiryo UI" w:hAnsi="Meiryo UI" w:cs="ＭＳ 明朝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具体的な現任研修と更新試験を</w:t>
            </w:r>
            <w:r w:rsidR="00853AB3"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一貫性のあるものとして</w:t>
            </w:r>
            <w:r w:rsidRPr="00104C1D">
              <w:rPr>
                <w:rFonts w:ascii="UD デジタル 教科書体 NP-R" w:eastAsia="UD デジタル 教科書体 NP-R" w:hAnsi="Meiryo UI" w:cs="ＭＳ 明朝" w:hint="eastAsia"/>
                <w:sz w:val="28"/>
                <w:szCs w:val="28"/>
              </w:rPr>
              <w:t>実施する必要がある。</w:t>
            </w:r>
          </w:p>
        </w:tc>
      </w:tr>
      <w:tr w:rsidR="00B3683C" w:rsidRPr="005105C3" w14:paraId="692C3F21" w14:textId="60AACEBC" w:rsidTr="00086B07">
        <w:tc>
          <w:tcPr>
            <w:tcW w:w="1442" w:type="pct"/>
          </w:tcPr>
          <w:p w14:paraId="5BA244A7" w14:textId="6EC4F0A7" w:rsidR="006A3BF7" w:rsidRPr="006A3BF7" w:rsidRDefault="006A3BF7" w:rsidP="006A3BF7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■手話通訳者の</w:t>
            </w: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派遣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079C69C2" w14:textId="62154DF4" w:rsidR="004B2AE1" w:rsidRPr="00F469FA" w:rsidRDefault="004B2AE1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登録手話通訳者の稼働率が非常に低い。年間100回以上稼働の登録者：8.2％（20名）</w:t>
            </w:r>
          </w:p>
          <w:p w14:paraId="692C3F1F" w14:textId="72CA352A" w:rsidR="004B2AE1" w:rsidRPr="005105C3" w:rsidRDefault="004B2AE1" w:rsidP="00F469FA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府手話通訳者派遣ニーズが</w:t>
            </w:r>
            <w:r w:rsidR="00A8112C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少ない。</w:t>
            </w:r>
          </w:p>
        </w:tc>
        <w:tc>
          <w:tcPr>
            <w:tcW w:w="1936" w:type="pct"/>
          </w:tcPr>
          <w:p w14:paraId="7687FF21" w14:textId="1AB37C07" w:rsidR="00086B07" w:rsidRPr="00104C1D" w:rsidRDefault="00086B07" w:rsidP="00086B07">
            <w:pPr>
              <w:spacing w:line="320" w:lineRule="exact"/>
              <w:ind w:left="560" w:hangingChars="200" w:hanging="56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5A539EDB" w14:textId="52668292" w:rsidR="00086B07" w:rsidRPr="00104C1D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府主催のイベント等は、そもそも派遣対象。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よって、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派遣事業を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さらに積極活用【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="00A8112C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104C1D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  <w:p w14:paraId="550219CA" w14:textId="24BF5252" w:rsidR="00086B07" w:rsidRPr="00104C1D" w:rsidRDefault="00086B07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・府主催のイベント等については、</w:t>
            </w:r>
            <w:r w:rsidR="00E20CAB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主催者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による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代理申請制度を導入する。</w:t>
            </w:r>
          </w:p>
          <w:p w14:paraId="66B5C7A8" w14:textId="0F790C32" w:rsidR="00086B07" w:rsidRPr="00104C1D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b/>
                <w:sz w:val="28"/>
                <w:szCs w:val="28"/>
              </w:rPr>
            </w:pPr>
            <w:r w:rsidRPr="00104C1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総合支援法の「特に専門性の高い意思疎通支援</w:t>
            </w:r>
            <w:r w:rsidR="00F469FA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（派遣対象であるもの）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」と「通勤や通学等、反復継続性のあるもの</w:t>
            </w:r>
            <w:r w:rsidR="00F469FA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（派遣対象でないもの）</w:t>
            </w:r>
            <w:r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」の関係性の整理</w:t>
            </w:r>
            <w:r w:rsidR="00F469FA" w:rsidRPr="00104C1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Pr="00104C1D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 w:rsidRPr="00104C1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  <w:p w14:paraId="692C3F20" w14:textId="4E2DE20C" w:rsidR="00B3683C" w:rsidRPr="00104C1D" w:rsidRDefault="00B3683C" w:rsidP="00086B07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622" w:type="pct"/>
          </w:tcPr>
          <w:p w14:paraId="5145C5E4" w14:textId="6A2480B3" w:rsidR="00086B07" w:rsidRPr="00D3496B" w:rsidRDefault="00D3496B" w:rsidP="00086B07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3496B">
              <w:rPr>
                <w:rFonts w:ascii="Meiryo UI" w:eastAsia="Meiryo UI" w:hAnsi="Meiryo UI" w:hint="eastAsia"/>
                <w:b/>
                <w:sz w:val="28"/>
                <w:szCs w:val="28"/>
              </w:rPr>
              <w:t>（第１回）</w:t>
            </w:r>
          </w:p>
          <w:p w14:paraId="3362A415" w14:textId="69BE71B4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手話の通じにくい高齢者の手話を読み取り、手話を伝えるのも、特に高い専門性。府の派遣対象とするべき。</w:t>
            </w:r>
          </w:p>
          <w:p w14:paraId="6A3D8D3F" w14:textId="77777777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特に高い専門性は、技術だけではなく、要件の内容も含まれる。</w:t>
            </w:r>
          </w:p>
          <w:p w14:paraId="27B4F663" w14:textId="77777777" w:rsidR="000D2CCB" w:rsidRDefault="00086B07" w:rsidP="00E92652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「特に高い専門性」と「専門領域」は全く</w:t>
            </w:r>
            <w:r w:rsidR="00E92652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の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別物。</w:t>
            </w:r>
          </w:p>
          <w:p w14:paraId="5FAB37BB" w14:textId="77777777" w:rsidR="00D3496B" w:rsidRDefault="00D3496B" w:rsidP="00E92652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E4E14C1" w14:textId="6B2C2826" w:rsidR="00D3496B" w:rsidRPr="00DA3E45" w:rsidRDefault="00D3496B" w:rsidP="00DA3E45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3496B">
              <w:rPr>
                <w:rFonts w:ascii="Meiryo UI" w:eastAsia="Meiryo UI" w:hAnsi="Meiryo UI" w:hint="eastAsia"/>
                <w:b/>
                <w:sz w:val="28"/>
                <w:szCs w:val="28"/>
              </w:rPr>
              <w:t>（第２回）</w:t>
            </w:r>
          </w:p>
          <w:p w14:paraId="13C9E0B6" w14:textId="4C40EA06" w:rsidR="000D7539" w:rsidRPr="00D3496B" w:rsidRDefault="000D7539" w:rsidP="00DA3E45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特段の意見なし。</w:t>
            </w:r>
          </w:p>
        </w:tc>
      </w:tr>
    </w:tbl>
    <w:p w14:paraId="692C3F22" w14:textId="06720DDE" w:rsidR="005A1CE8" w:rsidRDefault="005A1CE8" w:rsidP="00B3683C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sectPr w:rsidR="005A1CE8" w:rsidSect="009B426A">
      <w:pgSz w:w="16838" w:h="11906" w:orient="landscape"/>
      <w:pgMar w:top="851" w:right="822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2142" w14:textId="77777777" w:rsidR="008F626A" w:rsidRDefault="008F626A" w:rsidP="008F626A">
      <w:r>
        <w:separator/>
      </w:r>
    </w:p>
  </w:endnote>
  <w:endnote w:type="continuationSeparator" w:id="0">
    <w:p w14:paraId="61E41373" w14:textId="77777777" w:rsidR="008F626A" w:rsidRDefault="008F626A" w:rsidP="008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6F9F" w14:textId="77777777" w:rsidR="008F626A" w:rsidRDefault="008F626A" w:rsidP="008F626A">
      <w:r>
        <w:separator/>
      </w:r>
    </w:p>
  </w:footnote>
  <w:footnote w:type="continuationSeparator" w:id="0">
    <w:p w14:paraId="38697CA7" w14:textId="77777777" w:rsidR="008F626A" w:rsidRDefault="008F626A" w:rsidP="008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4"/>
    <w:rsid w:val="000032B1"/>
    <w:rsid w:val="000452B1"/>
    <w:rsid w:val="00086B07"/>
    <w:rsid w:val="000A674E"/>
    <w:rsid w:val="000B435B"/>
    <w:rsid w:val="000C38D6"/>
    <w:rsid w:val="000D19A7"/>
    <w:rsid w:val="000D2CCB"/>
    <w:rsid w:val="000D7539"/>
    <w:rsid w:val="00100C15"/>
    <w:rsid w:val="00104C1D"/>
    <w:rsid w:val="00111FF2"/>
    <w:rsid w:val="00163453"/>
    <w:rsid w:val="001648E5"/>
    <w:rsid w:val="00191AAD"/>
    <w:rsid w:val="001C2875"/>
    <w:rsid w:val="00205201"/>
    <w:rsid w:val="002150E6"/>
    <w:rsid w:val="0023471E"/>
    <w:rsid w:val="00246F04"/>
    <w:rsid w:val="002757B4"/>
    <w:rsid w:val="00290E5B"/>
    <w:rsid w:val="002B705B"/>
    <w:rsid w:val="002D7331"/>
    <w:rsid w:val="002E2D02"/>
    <w:rsid w:val="002F2BE1"/>
    <w:rsid w:val="002F354A"/>
    <w:rsid w:val="00331CAA"/>
    <w:rsid w:val="003350BF"/>
    <w:rsid w:val="00335909"/>
    <w:rsid w:val="0036672E"/>
    <w:rsid w:val="0037244B"/>
    <w:rsid w:val="0037384A"/>
    <w:rsid w:val="00380183"/>
    <w:rsid w:val="00382E08"/>
    <w:rsid w:val="003A3377"/>
    <w:rsid w:val="003A66B1"/>
    <w:rsid w:val="003C0B3B"/>
    <w:rsid w:val="003E285B"/>
    <w:rsid w:val="003E548B"/>
    <w:rsid w:val="003E731C"/>
    <w:rsid w:val="003F45D0"/>
    <w:rsid w:val="00400166"/>
    <w:rsid w:val="0040200E"/>
    <w:rsid w:val="004446AC"/>
    <w:rsid w:val="004B0A4A"/>
    <w:rsid w:val="004B2AE1"/>
    <w:rsid w:val="004D7973"/>
    <w:rsid w:val="004F17E8"/>
    <w:rsid w:val="00504C30"/>
    <w:rsid w:val="005105C3"/>
    <w:rsid w:val="0052547B"/>
    <w:rsid w:val="0059186A"/>
    <w:rsid w:val="005A1CE8"/>
    <w:rsid w:val="005C3075"/>
    <w:rsid w:val="005E34D2"/>
    <w:rsid w:val="00602F94"/>
    <w:rsid w:val="00642E9B"/>
    <w:rsid w:val="006814B4"/>
    <w:rsid w:val="00686CB8"/>
    <w:rsid w:val="00692372"/>
    <w:rsid w:val="006A3BF7"/>
    <w:rsid w:val="00720736"/>
    <w:rsid w:val="0073140E"/>
    <w:rsid w:val="00734F3A"/>
    <w:rsid w:val="00754625"/>
    <w:rsid w:val="007D2C73"/>
    <w:rsid w:val="007E4D90"/>
    <w:rsid w:val="00813FE0"/>
    <w:rsid w:val="00820D76"/>
    <w:rsid w:val="00832581"/>
    <w:rsid w:val="00853AB3"/>
    <w:rsid w:val="00864451"/>
    <w:rsid w:val="00867EDE"/>
    <w:rsid w:val="00880909"/>
    <w:rsid w:val="008975AB"/>
    <w:rsid w:val="008A6EB0"/>
    <w:rsid w:val="008B2088"/>
    <w:rsid w:val="008D4CB8"/>
    <w:rsid w:val="008F626A"/>
    <w:rsid w:val="00926D21"/>
    <w:rsid w:val="00937104"/>
    <w:rsid w:val="009678C9"/>
    <w:rsid w:val="00970197"/>
    <w:rsid w:val="009950E5"/>
    <w:rsid w:val="009A0A40"/>
    <w:rsid w:val="009B426A"/>
    <w:rsid w:val="009B75F9"/>
    <w:rsid w:val="009C3CC8"/>
    <w:rsid w:val="009C6116"/>
    <w:rsid w:val="00A029C7"/>
    <w:rsid w:val="00A0778C"/>
    <w:rsid w:val="00A642B8"/>
    <w:rsid w:val="00A66F4E"/>
    <w:rsid w:val="00A735C2"/>
    <w:rsid w:val="00A75A37"/>
    <w:rsid w:val="00A8112C"/>
    <w:rsid w:val="00A94DD6"/>
    <w:rsid w:val="00AC677D"/>
    <w:rsid w:val="00B138C4"/>
    <w:rsid w:val="00B25218"/>
    <w:rsid w:val="00B35E51"/>
    <w:rsid w:val="00B36045"/>
    <w:rsid w:val="00B3683C"/>
    <w:rsid w:val="00B3701C"/>
    <w:rsid w:val="00B461D7"/>
    <w:rsid w:val="00B71830"/>
    <w:rsid w:val="00B92990"/>
    <w:rsid w:val="00BB3E85"/>
    <w:rsid w:val="00C00532"/>
    <w:rsid w:val="00C02D6B"/>
    <w:rsid w:val="00C1485A"/>
    <w:rsid w:val="00C16DD8"/>
    <w:rsid w:val="00C20905"/>
    <w:rsid w:val="00C2711D"/>
    <w:rsid w:val="00C51ABB"/>
    <w:rsid w:val="00C64CAA"/>
    <w:rsid w:val="00C96F40"/>
    <w:rsid w:val="00CB52FF"/>
    <w:rsid w:val="00CC3237"/>
    <w:rsid w:val="00CC6C59"/>
    <w:rsid w:val="00D1378E"/>
    <w:rsid w:val="00D248DB"/>
    <w:rsid w:val="00D26659"/>
    <w:rsid w:val="00D3496B"/>
    <w:rsid w:val="00D41846"/>
    <w:rsid w:val="00D55B79"/>
    <w:rsid w:val="00D64343"/>
    <w:rsid w:val="00D75A87"/>
    <w:rsid w:val="00D84452"/>
    <w:rsid w:val="00D9477F"/>
    <w:rsid w:val="00DA3E45"/>
    <w:rsid w:val="00DC648A"/>
    <w:rsid w:val="00DE349B"/>
    <w:rsid w:val="00DF2B78"/>
    <w:rsid w:val="00DF4378"/>
    <w:rsid w:val="00DF55F4"/>
    <w:rsid w:val="00E027BB"/>
    <w:rsid w:val="00E07C10"/>
    <w:rsid w:val="00E15021"/>
    <w:rsid w:val="00E17640"/>
    <w:rsid w:val="00E20CAB"/>
    <w:rsid w:val="00E23831"/>
    <w:rsid w:val="00E5105F"/>
    <w:rsid w:val="00E62898"/>
    <w:rsid w:val="00E75B6C"/>
    <w:rsid w:val="00E83AE7"/>
    <w:rsid w:val="00E878A9"/>
    <w:rsid w:val="00E92652"/>
    <w:rsid w:val="00E97B41"/>
    <w:rsid w:val="00EC1033"/>
    <w:rsid w:val="00ED5720"/>
    <w:rsid w:val="00F25469"/>
    <w:rsid w:val="00F469FA"/>
    <w:rsid w:val="00F52D06"/>
    <w:rsid w:val="00F60831"/>
    <w:rsid w:val="00F86856"/>
    <w:rsid w:val="00F92B0D"/>
    <w:rsid w:val="00FB3115"/>
    <w:rsid w:val="00FC0DD3"/>
    <w:rsid w:val="00FD06A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26A"/>
  </w:style>
  <w:style w:type="paragraph" w:styleId="a8">
    <w:name w:val="footer"/>
    <w:basedOn w:val="a"/>
    <w:link w:val="a9"/>
    <w:uiPriority w:val="99"/>
    <w:unhideWhenUsed/>
    <w:rsid w:val="008F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4F41-1282-4403-A887-AF873F73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2020-03-06T07:11:00Z</dcterms:created>
  <dcterms:modified xsi:type="dcterms:W3CDTF">2021-01-05T06:25:00Z</dcterms:modified>
</cp:coreProperties>
</file>